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82259">
      <w:pPr>
        <w:pStyle w:val="6"/>
        <w:kinsoku w:val="0"/>
        <w:overflowPunct w:val="0"/>
        <w:spacing w:before="53"/>
        <w:ind w:left="112" w:right="114" w:firstLine="0"/>
        <w:jc w:val="both"/>
      </w:pPr>
      <w:r>
        <w:rPr>
          <w:spacing w:val="-1"/>
        </w:rPr>
        <w:t>Na</w:t>
      </w:r>
      <w:r>
        <w:rPr>
          <w:spacing w:val="25"/>
        </w:rPr>
        <w:t xml:space="preserve"> </w:t>
      </w:r>
      <w:r>
        <w:rPr>
          <w:spacing w:val="-1"/>
        </w:rPr>
        <w:t>temelju</w:t>
      </w:r>
      <w:r>
        <w:rPr>
          <w:spacing w:val="26"/>
        </w:rPr>
        <w:t xml:space="preserve"> </w:t>
      </w:r>
      <w:r>
        <w:rPr>
          <w:spacing w:val="-1"/>
        </w:rPr>
        <w:t>članka</w:t>
      </w:r>
      <w:r>
        <w:rPr>
          <w:spacing w:val="25"/>
        </w:rPr>
        <w:t xml:space="preserve"> </w:t>
      </w:r>
      <w:r>
        <w:t>81.-86.</w:t>
      </w:r>
      <w:r>
        <w:rPr>
          <w:spacing w:val="26"/>
        </w:rPr>
        <w:t xml:space="preserve"> </w:t>
      </w:r>
      <w:r>
        <w:t>Zakona</w:t>
      </w:r>
      <w:r>
        <w:rPr>
          <w:spacing w:val="25"/>
        </w:rPr>
        <w:t xml:space="preserve"> </w:t>
      </w:r>
      <w:r>
        <w:t>o</w:t>
      </w:r>
      <w:r>
        <w:rPr>
          <w:spacing w:val="26"/>
        </w:rPr>
        <w:t xml:space="preserve"> </w:t>
      </w:r>
      <w:r>
        <w:rPr>
          <w:spacing w:val="-1"/>
        </w:rPr>
        <w:t>proračunu</w:t>
      </w:r>
      <w:r>
        <w:rPr>
          <w:spacing w:val="26"/>
        </w:rPr>
        <w:t xml:space="preserve"> </w:t>
      </w:r>
      <w:r>
        <w:rPr>
          <w:spacing w:val="-1"/>
        </w:rPr>
        <w:t>(„Narodne</w:t>
      </w:r>
      <w:r>
        <w:rPr>
          <w:spacing w:val="25"/>
        </w:rPr>
        <w:t xml:space="preserve"> </w:t>
      </w:r>
      <w:r>
        <w:rPr>
          <w:spacing w:val="-1"/>
        </w:rPr>
        <w:t>novine“</w:t>
      </w:r>
      <w:r>
        <w:rPr>
          <w:spacing w:val="25"/>
        </w:rPr>
        <w:t xml:space="preserve"> </w:t>
      </w:r>
      <w:r>
        <w:rPr>
          <w:spacing w:val="-1"/>
        </w:rPr>
        <w:t>broj:</w:t>
      </w:r>
      <w:r>
        <w:rPr>
          <w:spacing w:val="26"/>
        </w:rPr>
        <w:t xml:space="preserve"> </w:t>
      </w:r>
      <w:r>
        <w:t>144/21.) i članka 30.-52. Pravilnika o polugodišnjem i godišnjem izvještaju o izvršenju proračuna i financijskog plana („Narodne novine“ broj: 85/23.) sastavlja se</w:t>
      </w:r>
    </w:p>
    <w:p w14:paraId="7E28225A">
      <w:pPr>
        <w:pStyle w:val="6"/>
        <w:kinsoku w:val="0"/>
        <w:overflowPunct w:val="0"/>
        <w:ind w:left="0" w:firstLine="0"/>
      </w:pPr>
    </w:p>
    <w:p w14:paraId="7E28225B">
      <w:pPr>
        <w:pStyle w:val="6"/>
        <w:kinsoku w:val="0"/>
        <w:overflowPunct w:val="0"/>
        <w:ind w:left="0" w:firstLine="0"/>
      </w:pPr>
    </w:p>
    <w:p w14:paraId="7E28225C">
      <w:pPr>
        <w:pStyle w:val="6"/>
        <w:kinsoku w:val="0"/>
        <w:overflowPunct w:val="0"/>
        <w:ind w:left="0" w:firstLine="0"/>
      </w:pPr>
    </w:p>
    <w:p w14:paraId="7E28225D">
      <w:pPr>
        <w:pStyle w:val="6"/>
        <w:kinsoku w:val="0"/>
        <w:overflowPunct w:val="0"/>
        <w:spacing w:before="11"/>
        <w:ind w:left="0" w:firstLine="0"/>
        <w:rPr>
          <w:sz w:val="23"/>
          <w:szCs w:val="23"/>
        </w:rPr>
      </w:pPr>
    </w:p>
    <w:p w14:paraId="7E28225E">
      <w:pPr>
        <w:pStyle w:val="6"/>
        <w:kinsoku w:val="0"/>
        <w:overflowPunct w:val="0"/>
        <w:ind w:left="1072" w:right="1075" w:firstLine="0"/>
        <w:jc w:val="center"/>
        <w:rPr>
          <w:sz w:val="32"/>
          <w:szCs w:val="32"/>
        </w:rPr>
      </w:pPr>
      <w:r>
        <w:rPr>
          <w:b/>
          <w:bCs/>
          <w:sz w:val="32"/>
          <w:szCs w:val="32"/>
        </w:rPr>
        <w:t xml:space="preserve">GODIŠNJI </w:t>
      </w:r>
      <w:r>
        <w:rPr>
          <w:b/>
          <w:bCs/>
          <w:spacing w:val="-20"/>
          <w:sz w:val="32"/>
          <w:szCs w:val="32"/>
        </w:rPr>
        <w:t xml:space="preserve"> </w:t>
      </w:r>
      <w:r>
        <w:rPr>
          <w:b/>
          <w:bCs/>
          <w:sz w:val="32"/>
          <w:szCs w:val="32"/>
        </w:rPr>
        <w:t>IZVJEŠTAJ</w:t>
      </w:r>
      <w:r>
        <w:rPr>
          <w:b/>
          <w:bCs/>
          <w:spacing w:val="-19"/>
          <w:sz w:val="32"/>
          <w:szCs w:val="32"/>
        </w:rPr>
        <w:t xml:space="preserve"> </w:t>
      </w:r>
      <w:r>
        <w:rPr>
          <w:b/>
          <w:bCs/>
          <w:sz w:val="32"/>
          <w:szCs w:val="32"/>
        </w:rPr>
        <w:t>O</w:t>
      </w:r>
      <w:r>
        <w:rPr>
          <w:b/>
          <w:bCs/>
          <w:spacing w:val="-20"/>
          <w:sz w:val="32"/>
          <w:szCs w:val="32"/>
        </w:rPr>
        <w:t xml:space="preserve"> </w:t>
      </w:r>
      <w:r>
        <w:rPr>
          <w:b/>
          <w:bCs/>
          <w:sz w:val="32"/>
          <w:szCs w:val="32"/>
        </w:rPr>
        <w:t>IZVRŠENJU</w:t>
      </w:r>
      <w:r>
        <w:rPr>
          <w:b/>
          <w:bCs/>
          <w:spacing w:val="-19"/>
          <w:sz w:val="32"/>
          <w:szCs w:val="32"/>
        </w:rPr>
        <w:t xml:space="preserve"> FINANCIJSKOG PLANA ZA </w:t>
      </w:r>
      <w:r>
        <w:rPr>
          <w:b/>
          <w:bCs/>
          <w:sz w:val="32"/>
          <w:szCs w:val="32"/>
        </w:rPr>
        <w:t>202</w:t>
      </w:r>
      <w:r>
        <w:rPr>
          <w:rFonts w:hint="default"/>
          <w:b/>
          <w:bCs/>
          <w:sz w:val="32"/>
          <w:szCs w:val="32"/>
          <w:lang w:val="hr-HR"/>
        </w:rPr>
        <w:t>5</w:t>
      </w:r>
      <w:r>
        <w:rPr>
          <w:b/>
          <w:bCs/>
          <w:sz w:val="32"/>
          <w:szCs w:val="32"/>
        </w:rPr>
        <w:t>.</w:t>
      </w:r>
      <w:r>
        <w:rPr>
          <w:b/>
          <w:bCs/>
          <w:spacing w:val="-14"/>
          <w:sz w:val="32"/>
          <w:szCs w:val="32"/>
        </w:rPr>
        <w:t xml:space="preserve"> </w:t>
      </w:r>
      <w:r>
        <w:rPr>
          <w:b/>
          <w:bCs/>
          <w:sz w:val="32"/>
          <w:szCs w:val="32"/>
        </w:rPr>
        <w:t>GODINU</w:t>
      </w:r>
    </w:p>
    <w:p w14:paraId="7E28225F">
      <w:pPr>
        <w:pStyle w:val="6"/>
        <w:kinsoku w:val="0"/>
        <w:overflowPunct w:val="0"/>
        <w:ind w:left="0" w:firstLine="0"/>
        <w:rPr>
          <w:b/>
          <w:bCs/>
          <w:sz w:val="32"/>
          <w:szCs w:val="32"/>
        </w:rPr>
      </w:pPr>
    </w:p>
    <w:p w14:paraId="7E282260">
      <w:pPr>
        <w:pStyle w:val="2"/>
        <w:kinsoku w:val="0"/>
        <w:overflowPunct w:val="0"/>
        <w:spacing w:before="231"/>
        <w:ind w:left="3606" w:right="3606"/>
        <w:jc w:val="center"/>
        <w:rPr>
          <w:b w:val="0"/>
          <w:bCs w:val="0"/>
        </w:rPr>
      </w:pPr>
      <w:r>
        <w:rPr>
          <w:spacing w:val="-1"/>
        </w:rPr>
        <w:t>Članak</w:t>
      </w:r>
      <w:r>
        <w:t xml:space="preserve"> 1.</w:t>
      </w:r>
    </w:p>
    <w:p w14:paraId="7E282261">
      <w:pPr>
        <w:pStyle w:val="6"/>
        <w:kinsoku w:val="0"/>
        <w:overflowPunct w:val="0"/>
        <w:ind w:left="0" w:firstLine="0"/>
        <w:rPr>
          <w:b/>
          <w:bCs/>
        </w:rPr>
      </w:pPr>
    </w:p>
    <w:p w14:paraId="7E282262">
      <w:pPr>
        <w:pStyle w:val="6"/>
        <w:kinsoku w:val="0"/>
        <w:overflowPunct w:val="0"/>
        <w:spacing w:line="275" w:lineRule="exact"/>
        <w:ind w:left="112" w:firstLine="0"/>
        <w:jc w:val="both"/>
        <w:rPr>
          <w:spacing w:val="-1"/>
        </w:rPr>
      </w:pPr>
      <w:r>
        <w:rPr>
          <w:spacing w:val="-1"/>
        </w:rPr>
        <w:t>Godišnji izvještaj</w:t>
      </w:r>
      <w:r>
        <w:t xml:space="preserve"> o </w:t>
      </w:r>
      <w:r>
        <w:rPr>
          <w:spacing w:val="-1"/>
        </w:rPr>
        <w:t>izvršenju</w:t>
      </w:r>
      <w:r>
        <w:t xml:space="preserve"> Financijskog plana Osnovne škole August Cesarec za 202</w:t>
      </w:r>
      <w:r>
        <w:rPr>
          <w:rFonts w:hint="default"/>
          <w:lang w:val="hr-HR"/>
        </w:rPr>
        <w:t>5</w:t>
      </w:r>
      <w:r>
        <w:t xml:space="preserve">. godinu </w:t>
      </w:r>
      <w:r>
        <w:rPr>
          <w:spacing w:val="-1"/>
        </w:rPr>
        <w:t>sadrži:</w:t>
      </w:r>
    </w:p>
    <w:p w14:paraId="7E282263">
      <w:pPr>
        <w:pStyle w:val="6"/>
        <w:numPr>
          <w:ilvl w:val="0"/>
          <w:numId w:val="1"/>
        </w:numPr>
        <w:tabs>
          <w:tab w:val="left" w:pos="833"/>
        </w:tabs>
        <w:kinsoku w:val="0"/>
        <w:overflowPunct w:val="0"/>
        <w:spacing w:line="275" w:lineRule="exact"/>
      </w:pPr>
      <w:r>
        <w:rPr>
          <w:spacing w:val="-1"/>
        </w:rPr>
        <w:t>Opći</w:t>
      </w:r>
      <w:r>
        <w:t xml:space="preserve"> dio:</w:t>
      </w:r>
    </w:p>
    <w:p w14:paraId="7E282264">
      <w:pPr>
        <w:pStyle w:val="6"/>
        <w:numPr>
          <w:ilvl w:val="1"/>
          <w:numId w:val="1"/>
        </w:numPr>
        <w:tabs>
          <w:tab w:val="left" w:pos="1553"/>
        </w:tabs>
        <w:kinsoku w:val="0"/>
        <w:overflowPunct w:val="0"/>
        <w:rPr>
          <w:spacing w:val="-1"/>
        </w:rPr>
      </w:pPr>
      <w:r>
        <w:rPr>
          <w:spacing w:val="-1"/>
        </w:rPr>
        <w:t>Sažetak</w:t>
      </w:r>
      <w:r>
        <w:t xml:space="preserve"> Računa</w:t>
      </w:r>
      <w:r>
        <w:rPr>
          <w:spacing w:val="-1"/>
        </w:rPr>
        <w:t xml:space="preserve"> </w:t>
      </w:r>
      <w:r>
        <w:t>prihoda</w:t>
      </w:r>
      <w:r>
        <w:rPr>
          <w:spacing w:val="-1"/>
        </w:rPr>
        <w:t xml:space="preserve"> </w:t>
      </w:r>
      <w:r>
        <w:t xml:space="preserve">i </w:t>
      </w:r>
      <w:r>
        <w:rPr>
          <w:spacing w:val="-1"/>
        </w:rPr>
        <w:t xml:space="preserve">rashoda </w:t>
      </w:r>
      <w:r>
        <w:t>i Računa</w:t>
      </w:r>
      <w:r>
        <w:rPr>
          <w:spacing w:val="-1"/>
        </w:rPr>
        <w:t xml:space="preserve"> financiranja</w:t>
      </w:r>
    </w:p>
    <w:p w14:paraId="7E282265">
      <w:pPr>
        <w:pStyle w:val="6"/>
        <w:numPr>
          <w:ilvl w:val="1"/>
          <w:numId w:val="1"/>
        </w:numPr>
        <w:tabs>
          <w:tab w:val="left" w:pos="1553"/>
        </w:tabs>
        <w:kinsoku w:val="0"/>
        <w:overflowPunct w:val="0"/>
        <w:rPr>
          <w:spacing w:val="-1"/>
        </w:rPr>
      </w:pPr>
      <w:r>
        <w:rPr>
          <w:spacing w:val="-1"/>
        </w:rPr>
        <w:t>Račun</w:t>
      </w:r>
      <w:r>
        <w:t xml:space="preserve"> </w:t>
      </w:r>
      <w:r>
        <w:rPr>
          <w:spacing w:val="-1"/>
        </w:rPr>
        <w:t xml:space="preserve">prihoda </w:t>
      </w:r>
      <w:r>
        <w:t xml:space="preserve">i </w:t>
      </w:r>
      <w:r>
        <w:rPr>
          <w:spacing w:val="-1"/>
        </w:rPr>
        <w:t>rashoda:</w:t>
      </w:r>
    </w:p>
    <w:p w14:paraId="7E282266">
      <w:pPr>
        <w:pStyle w:val="6"/>
        <w:numPr>
          <w:ilvl w:val="2"/>
          <w:numId w:val="1"/>
        </w:numPr>
        <w:tabs>
          <w:tab w:val="left" w:pos="2945"/>
        </w:tabs>
        <w:kinsoku w:val="0"/>
        <w:overflowPunct w:val="0"/>
        <w:rPr>
          <w:spacing w:val="-1"/>
        </w:rPr>
      </w:pPr>
      <w:r>
        <w:rPr>
          <w:spacing w:val="-1"/>
        </w:rPr>
        <w:t>Izvještaj</w:t>
      </w:r>
      <w:r>
        <w:t xml:space="preserve"> o </w:t>
      </w:r>
      <w:r>
        <w:rPr>
          <w:spacing w:val="-1"/>
        </w:rPr>
        <w:t xml:space="preserve">prihodima </w:t>
      </w:r>
      <w:r>
        <w:t>i rashodima</w:t>
      </w:r>
      <w:r>
        <w:rPr>
          <w:spacing w:val="-1"/>
        </w:rPr>
        <w:t xml:space="preserve"> prema </w:t>
      </w:r>
      <w:r>
        <w:t xml:space="preserve">ekonomskoj </w:t>
      </w:r>
      <w:r>
        <w:rPr>
          <w:spacing w:val="-1"/>
        </w:rPr>
        <w:t>klasifikaciji</w:t>
      </w:r>
    </w:p>
    <w:p w14:paraId="7E282267">
      <w:pPr>
        <w:pStyle w:val="6"/>
        <w:numPr>
          <w:ilvl w:val="2"/>
          <w:numId w:val="1"/>
        </w:numPr>
        <w:tabs>
          <w:tab w:val="left" w:pos="2945"/>
        </w:tabs>
        <w:kinsoku w:val="0"/>
        <w:overflowPunct w:val="0"/>
        <w:rPr>
          <w:spacing w:val="-1"/>
        </w:rPr>
      </w:pPr>
      <w:r>
        <w:rPr>
          <w:spacing w:val="-1"/>
        </w:rPr>
        <w:t>Izvještaj</w:t>
      </w:r>
      <w:r>
        <w:t xml:space="preserve"> o </w:t>
      </w:r>
      <w:r>
        <w:rPr>
          <w:spacing w:val="-1"/>
        </w:rPr>
        <w:t xml:space="preserve">prihodima </w:t>
      </w:r>
      <w:r>
        <w:t>i rashodima</w:t>
      </w:r>
      <w:r>
        <w:rPr>
          <w:spacing w:val="-1"/>
        </w:rPr>
        <w:t xml:space="preserve"> prema izvorima</w:t>
      </w:r>
      <w:r>
        <w:rPr>
          <w:spacing w:val="1"/>
        </w:rPr>
        <w:t xml:space="preserve"> </w:t>
      </w:r>
      <w:r>
        <w:rPr>
          <w:spacing w:val="-1"/>
        </w:rPr>
        <w:t>financiranja</w:t>
      </w:r>
    </w:p>
    <w:p w14:paraId="7E282268">
      <w:pPr>
        <w:pStyle w:val="6"/>
        <w:numPr>
          <w:ilvl w:val="2"/>
          <w:numId w:val="1"/>
        </w:numPr>
        <w:tabs>
          <w:tab w:val="left" w:pos="2945"/>
        </w:tabs>
        <w:kinsoku w:val="0"/>
        <w:overflowPunct w:val="0"/>
        <w:rPr>
          <w:spacing w:val="-1"/>
        </w:rPr>
      </w:pPr>
      <w:r>
        <w:rPr>
          <w:spacing w:val="-1"/>
        </w:rPr>
        <w:t>Izvještaj</w:t>
      </w:r>
      <w:r>
        <w:t xml:space="preserve"> o </w:t>
      </w:r>
      <w:r>
        <w:rPr>
          <w:spacing w:val="-1"/>
        </w:rPr>
        <w:t xml:space="preserve">rashodima </w:t>
      </w:r>
      <w:r>
        <w:t>prema</w:t>
      </w:r>
      <w:r>
        <w:rPr>
          <w:spacing w:val="-1"/>
        </w:rPr>
        <w:t xml:space="preserve"> funkcijskoj</w:t>
      </w:r>
      <w:r>
        <w:t xml:space="preserve"> </w:t>
      </w:r>
      <w:r>
        <w:rPr>
          <w:spacing w:val="-1"/>
        </w:rPr>
        <w:t>klasifikaciji</w:t>
      </w:r>
    </w:p>
    <w:p w14:paraId="7E282269">
      <w:pPr>
        <w:pStyle w:val="6"/>
        <w:numPr>
          <w:ilvl w:val="1"/>
          <w:numId w:val="1"/>
        </w:numPr>
        <w:tabs>
          <w:tab w:val="left" w:pos="1553"/>
        </w:tabs>
        <w:kinsoku w:val="0"/>
        <w:overflowPunct w:val="0"/>
      </w:pPr>
      <w:r>
        <w:rPr>
          <w:spacing w:val="-1"/>
        </w:rPr>
        <w:t>Račun</w:t>
      </w:r>
      <w:r>
        <w:t xml:space="preserve"> </w:t>
      </w:r>
      <w:r>
        <w:rPr>
          <w:spacing w:val="-1"/>
        </w:rPr>
        <w:t>financiranja:</w:t>
      </w:r>
    </w:p>
    <w:p w14:paraId="7E28226A">
      <w:pPr>
        <w:pStyle w:val="6"/>
        <w:numPr>
          <w:ilvl w:val="2"/>
          <w:numId w:val="1"/>
        </w:numPr>
        <w:tabs>
          <w:tab w:val="left" w:pos="2945"/>
        </w:tabs>
        <w:kinsoku w:val="0"/>
        <w:overflowPunct w:val="0"/>
        <w:rPr>
          <w:spacing w:val="-1"/>
        </w:rPr>
      </w:pPr>
      <w:r>
        <w:rPr>
          <w:spacing w:val="-1"/>
        </w:rPr>
        <w:t>Izvještaj</w:t>
      </w:r>
      <w:r>
        <w:t xml:space="preserve"> </w:t>
      </w:r>
      <w:r>
        <w:rPr>
          <w:spacing w:val="-1"/>
        </w:rPr>
        <w:t>računa</w:t>
      </w:r>
      <w:r>
        <w:rPr>
          <w:spacing w:val="1"/>
        </w:rPr>
        <w:t xml:space="preserve"> </w:t>
      </w:r>
      <w:r>
        <w:rPr>
          <w:spacing w:val="-1"/>
        </w:rPr>
        <w:t>financiranja prema ekonomskoj</w:t>
      </w:r>
      <w:r>
        <w:t xml:space="preserve"> </w:t>
      </w:r>
      <w:r>
        <w:rPr>
          <w:spacing w:val="-1"/>
        </w:rPr>
        <w:t>klasifikaciji</w:t>
      </w:r>
    </w:p>
    <w:p w14:paraId="7E28226B">
      <w:pPr>
        <w:pStyle w:val="6"/>
        <w:numPr>
          <w:ilvl w:val="2"/>
          <w:numId w:val="1"/>
        </w:numPr>
        <w:tabs>
          <w:tab w:val="left" w:pos="2945"/>
        </w:tabs>
        <w:kinsoku w:val="0"/>
        <w:overflowPunct w:val="0"/>
      </w:pPr>
      <w:r>
        <w:rPr>
          <w:spacing w:val="-1"/>
        </w:rPr>
        <w:t>Izvještaj</w:t>
      </w:r>
      <w:r>
        <w:t xml:space="preserve"> </w:t>
      </w:r>
      <w:r>
        <w:rPr>
          <w:spacing w:val="-1"/>
        </w:rPr>
        <w:t>računa</w:t>
      </w:r>
      <w:r>
        <w:rPr>
          <w:spacing w:val="1"/>
        </w:rPr>
        <w:t xml:space="preserve"> </w:t>
      </w:r>
      <w:r>
        <w:rPr>
          <w:spacing w:val="-1"/>
        </w:rPr>
        <w:t xml:space="preserve">financiranja prema </w:t>
      </w:r>
      <w:r>
        <w:t>izvorima</w:t>
      </w:r>
      <w:r>
        <w:rPr>
          <w:spacing w:val="-1"/>
        </w:rPr>
        <w:t xml:space="preserve"> financiranja.</w:t>
      </w:r>
    </w:p>
    <w:p w14:paraId="7E28226C">
      <w:pPr>
        <w:pStyle w:val="6"/>
        <w:numPr>
          <w:ilvl w:val="0"/>
          <w:numId w:val="1"/>
        </w:numPr>
        <w:tabs>
          <w:tab w:val="left" w:pos="833"/>
        </w:tabs>
        <w:kinsoku w:val="0"/>
        <w:overflowPunct w:val="0"/>
      </w:pPr>
      <w:r>
        <w:rPr>
          <w:spacing w:val="-1"/>
        </w:rPr>
        <w:t>Posebni</w:t>
      </w:r>
      <w:r>
        <w:t xml:space="preserve"> dio:</w:t>
      </w:r>
    </w:p>
    <w:p w14:paraId="7E28226D">
      <w:pPr>
        <w:pStyle w:val="6"/>
        <w:numPr>
          <w:ilvl w:val="1"/>
          <w:numId w:val="1"/>
        </w:numPr>
        <w:tabs>
          <w:tab w:val="left" w:pos="1553"/>
        </w:tabs>
        <w:kinsoku w:val="0"/>
        <w:overflowPunct w:val="0"/>
        <w:rPr>
          <w:spacing w:val="-1"/>
        </w:rPr>
      </w:pPr>
      <w:r>
        <w:rPr>
          <w:spacing w:val="-1"/>
        </w:rPr>
        <w:t>Izvještaj</w:t>
      </w:r>
      <w:r>
        <w:t xml:space="preserve"> po </w:t>
      </w:r>
      <w:r>
        <w:rPr>
          <w:spacing w:val="-1"/>
        </w:rPr>
        <w:t>programskoj</w:t>
      </w:r>
      <w:r>
        <w:t xml:space="preserve"> </w:t>
      </w:r>
      <w:r>
        <w:rPr>
          <w:spacing w:val="-1"/>
        </w:rPr>
        <w:t>klasifikaciji</w:t>
      </w:r>
    </w:p>
    <w:p w14:paraId="7E28226E">
      <w:pPr>
        <w:pStyle w:val="6"/>
        <w:tabs>
          <w:tab w:val="left" w:pos="1553"/>
        </w:tabs>
        <w:kinsoku w:val="0"/>
        <w:overflowPunct w:val="0"/>
        <w:ind w:left="1778" w:firstLine="0"/>
        <w:rPr>
          <w:spacing w:val="-1"/>
        </w:rPr>
      </w:pPr>
    </w:p>
    <w:p w14:paraId="7E28226F">
      <w:pPr>
        <w:pStyle w:val="6"/>
        <w:numPr>
          <w:ilvl w:val="0"/>
          <w:numId w:val="1"/>
        </w:numPr>
        <w:tabs>
          <w:tab w:val="left" w:pos="833"/>
        </w:tabs>
        <w:kinsoku w:val="0"/>
        <w:overflowPunct w:val="0"/>
        <w:rPr>
          <w:spacing w:val="-1"/>
        </w:rPr>
      </w:pPr>
      <w:r>
        <w:rPr>
          <w:spacing w:val="-1"/>
        </w:rPr>
        <w:t>Obrazloženje:</w:t>
      </w:r>
    </w:p>
    <w:p w14:paraId="7E282270">
      <w:pPr>
        <w:pStyle w:val="6"/>
        <w:numPr>
          <w:ilvl w:val="1"/>
          <w:numId w:val="1"/>
        </w:numPr>
        <w:tabs>
          <w:tab w:val="left" w:pos="1553"/>
        </w:tabs>
        <w:kinsoku w:val="0"/>
        <w:overflowPunct w:val="0"/>
        <w:rPr>
          <w:spacing w:val="-1"/>
        </w:rPr>
      </w:pPr>
      <w:r>
        <w:rPr>
          <w:spacing w:val="-1"/>
        </w:rPr>
        <w:t xml:space="preserve">Obrazloženje </w:t>
      </w:r>
      <w:r>
        <w:t>općeg dijela</w:t>
      </w:r>
      <w:r>
        <w:rPr>
          <w:spacing w:val="-1"/>
        </w:rPr>
        <w:t xml:space="preserve"> izvještaja </w:t>
      </w:r>
      <w:r>
        <w:t xml:space="preserve">o </w:t>
      </w:r>
      <w:r>
        <w:rPr>
          <w:spacing w:val="-1"/>
        </w:rPr>
        <w:t>izvršenju</w:t>
      </w:r>
      <w:r>
        <w:t xml:space="preserve"> financijskog plana</w:t>
      </w:r>
      <w:r>
        <w:rPr>
          <w:spacing w:val="-1"/>
        </w:rPr>
        <w:t>:</w:t>
      </w:r>
    </w:p>
    <w:p w14:paraId="7E282271">
      <w:pPr>
        <w:pStyle w:val="6"/>
        <w:numPr>
          <w:ilvl w:val="2"/>
          <w:numId w:val="1"/>
        </w:numPr>
        <w:tabs>
          <w:tab w:val="left" w:pos="2945"/>
        </w:tabs>
        <w:kinsoku w:val="0"/>
        <w:overflowPunct w:val="0"/>
        <w:ind w:left="2992" w:right="110" w:hanging="360"/>
      </w:pPr>
      <w:bookmarkStart w:id="0" w:name="_Hlk172497173"/>
      <w:r>
        <w:rPr>
          <w:spacing w:val="-1"/>
        </w:rPr>
        <w:t>Obrazloženje</w:t>
      </w:r>
      <w:r>
        <w:t xml:space="preserve"> </w:t>
      </w:r>
      <w:r>
        <w:rPr>
          <w:spacing w:val="8"/>
        </w:rPr>
        <w:t xml:space="preserve"> </w:t>
      </w:r>
      <w:r>
        <w:rPr>
          <w:spacing w:val="-1"/>
        </w:rPr>
        <w:t>ostvarenja</w:t>
      </w:r>
      <w:r>
        <w:t xml:space="preserve"> </w:t>
      </w:r>
      <w:r>
        <w:rPr>
          <w:spacing w:val="11"/>
        </w:rPr>
        <w:t xml:space="preserve"> </w:t>
      </w:r>
      <w:r>
        <w:rPr>
          <w:spacing w:val="-1"/>
        </w:rPr>
        <w:t>prihoda</w:t>
      </w:r>
      <w:r>
        <w:t xml:space="preserve"> </w:t>
      </w:r>
      <w:r>
        <w:rPr>
          <w:spacing w:val="8"/>
        </w:rPr>
        <w:t xml:space="preserve"> </w:t>
      </w:r>
      <w:r>
        <w:t xml:space="preserve">i </w:t>
      </w:r>
      <w:r>
        <w:rPr>
          <w:spacing w:val="10"/>
        </w:rPr>
        <w:t xml:space="preserve"> </w:t>
      </w:r>
      <w:r>
        <w:rPr>
          <w:spacing w:val="-1"/>
        </w:rPr>
        <w:t>rashoda,</w:t>
      </w:r>
      <w:r>
        <w:t xml:space="preserve"> </w:t>
      </w:r>
      <w:r>
        <w:rPr>
          <w:spacing w:val="9"/>
        </w:rPr>
        <w:t xml:space="preserve"> </w:t>
      </w:r>
      <w:r>
        <w:rPr>
          <w:spacing w:val="-1"/>
        </w:rPr>
        <w:t>primitaka</w:t>
      </w:r>
      <w:r>
        <w:t xml:space="preserve"> </w:t>
      </w:r>
      <w:r>
        <w:rPr>
          <w:spacing w:val="8"/>
        </w:rPr>
        <w:t xml:space="preserve"> </w:t>
      </w:r>
      <w:r>
        <w:t xml:space="preserve">i </w:t>
      </w:r>
      <w:r>
        <w:rPr>
          <w:spacing w:val="10"/>
        </w:rPr>
        <w:t xml:space="preserve"> </w:t>
      </w:r>
      <w:r>
        <w:rPr>
          <w:spacing w:val="-1"/>
        </w:rPr>
        <w:t>izdataka</w:t>
      </w:r>
      <w:r>
        <w:t xml:space="preserve"> </w:t>
      </w:r>
      <w:r>
        <w:rPr>
          <w:spacing w:val="8"/>
        </w:rPr>
        <w:t xml:space="preserve"> </w:t>
      </w:r>
      <w:r>
        <w:t>u</w:t>
      </w:r>
      <w:r>
        <w:rPr>
          <w:spacing w:val="81"/>
        </w:rPr>
        <w:t xml:space="preserve"> </w:t>
      </w:r>
      <w:r>
        <w:rPr>
          <w:spacing w:val="-1"/>
        </w:rPr>
        <w:t>izvještajnom</w:t>
      </w:r>
      <w:r>
        <w:t xml:space="preserve"> </w:t>
      </w:r>
      <w:r>
        <w:rPr>
          <w:spacing w:val="-1"/>
        </w:rPr>
        <w:t>razdoblju</w:t>
      </w:r>
      <w:r>
        <w:t xml:space="preserve"> i</w:t>
      </w:r>
    </w:p>
    <w:bookmarkEnd w:id="0"/>
    <w:p w14:paraId="7E282272">
      <w:pPr>
        <w:pStyle w:val="6"/>
        <w:numPr>
          <w:ilvl w:val="2"/>
          <w:numId w:val="1"/>
        </w:numPr>
        <w:tabs>
          <w:tab w:val="left" w:pos="2945"/>
        </w:tabs>
        <w:kinsoku w:val="0"/>
        <w:overflowPunct w:val="0"/>
        <w:ind w:left="2992" w:right="116" w:hanging="360"/>
        <w:rPr>
          <w:spacing w:val="-1"/>
        </w:rPr>
      </w:pPr>
      <w:bookmarkStart w:id="1" w:name="_Hlk172495810"/>
      <w:r>
        <w:rPr>
          <w:spacing w:val="-1"/>
        </w:rPr>
        <w:t>Obrazloženje prenesenog viška/manjka iz prethodne godine i viška/manjka za prijenos u sljedeće razdoblje</w:t>
      </w:r>
    </w:p>
    <w:p w14:paraId="7E282273">
      <w:pPr>
        <w:pStyle w:val="6"/>
        <w:numPr>
          <w:ilvl w:val="1"/>
          <w:numId w:val="1"/>
        </w:numPr>
        <w:tabs>
          <w:tab w:val="left" w:pos="1553"/>
        </w:tabs>
        <w:kinsoku w:val="0"/>
        <w:overflowPunct w:val="0"/>
      </w:pPr>
      <w:r>
        <w:t>Obrazloženje posebnog dijela izvještaja o izvršenju financijskog plana</w:t>
      </w:r>
    </w:p>
    <w:p w14:paraId="7174F3E1">
      <w:pPr>
        <w:pStyle w:val="6"/>
        <w:tabs>
          <w:tab w:val="left" w:pos="1553"/>
        </w:tabs>
        <w:kinsoku w:val="0"/>
        <w:overflowPunct w:val="0"/>
        <w:ind w:left="1778" w:firstLine="0"/>
      </w:pPr>
    </w:p>
    <w:bookmarkEnd w:id="1"/>
    <w:p w14:paraId="7E282274">
      <w:pPr>
        <w:pStyle w:val="6"/>
        <w:numPr>
          <w:ilvl w:val="0"/>
          <w:numId w:val="1"/>
        </w:numPr>
        <w:tabs>
          <w:tab w:val="left" w:pos="833"/>
        </w:tabs>
        <w:kinsoku w:val="0"/>
        <w:overflowPunct w:val="0"/>
        <w:rPr>
          <w:spacing w:val="-1"/>
        </w:rPr>
      </w:pPr>
      <w:r>
        <w:rPr>
          <w:spacing w:val="-1"/>
        </w:rPr>
        <w:t>Posebne izvještaje:</w:t>
      </w:r>
    </w:p>
    <w:p w14:paraId="7E282275">
      <w:pPr>
        <w:pStyle w:val="6"/>
        <w:numPr>
          <w:ilvl w:val="1"/>
          <w:numId w:val="1"/>
        </w:numPr>
        <w:tabs>
          <w:tab w:val="left" w:pos="1553"/>
        </w:tabs>
        <w:kinsoku w:val="0"/>
        <w:overflowPunct w:val="0"/>
        <w:rPr>
          <w:spacing w:val="-1"/>
        </w:rPr>
      </w:pPr>
      <w:r>
        <w:rPr>
          <w:spacing w:val="-1"/>
        </w:rPr>
        <w:t>izvještaj</w:t>
      </w:r>
      <w:r>
        <w:t xml:space="preserve"> o </w:t>
      </w:r>
      <w:r>
        <w:rPr>
          <w:spacing w:val="-1"/>
        </w:rPr>
        <w:t>zaduživanju</w:t>
      </w:r>
      <w:r>
        <w:t xml:space="preserve"> na</w:t>
      </w:r>
      <w:r>
        <w:rPr>
          <w:spacing w:val="-1"/>
        </w:rPr>
        <w:t xml:space="preserve"> domaćem</w:t>
      </w:r>
      <w:r>
        <w:t xml:space="preserve"> i </w:t>
      </w:r>
      <w:r>
        <w:rPr>
          <w:spacing w:val="-1"/>
        </w:rPr>
        <w:t>stranom</w:t>
      </w:r>
      <w:r>
        <w:t xml:space="preserve"> tržištu </w:t>
      </w:r>
      <w:r>
        <w:rPr>
          <w:spacing w:val="-1"/>
        </w:rPr>
        <w:t xml:space="preserve">novca </w:t>
      </w:r>
      <w:r>
        <w:t xml:space="preserve">i </w:t>
      </w:r>
      <w:r>
        <w:rPr>
          <w:spacing w:val="-1"/>
        </w:rPr>
        <w:t>kapitala</w:t>
      </w:r>
    </w:p>
    <w:p w14:paraId="7E282276">
      <w:pPr>
        <w:pStyle w:val="6"/>
        <w:numPr>
          <w:ilvl w:val="1"/>
          <w:numId w:val="1"/>
        </w:numPr>
        <w:tabs>
          <w:tab w:val="left" w:pos="1553"/>
        </w:tabs>
        <w:kinsoku w:val="0"/>
        <w:overflowPunct w:val="0"/>
        <w:ind w:right="116"/>
        <w:rPr>
          <w:spacing w:val="-1"/>
        </w:rPr>
      </w:pPr>
      <w:r>
        <w:rPr>
          <w:spacing w:val="-1"/>
        </w:rPr>
        <w:t>izvještaj o korištenju sredstava fondova Europske unije</w:t>
      </w:r>
    </w:p>
    <w:p w14:paraId="4851D9FF">
      <w:pPr>
        <w:pStyle w:val="6"/>
        <w:numPr>
          <w:ilvl w:val="1"/>
          <w:numId w:val="1"/>
        </w:numPr>
        <w:tabs>
          <w:tab w:val="left" w:pos="1553"/>
        </w:tabs>
        <w:kinsoku w:val="0"/>
        <w:overflowPunct w:val="0"/>
        <w:ind w:right="116"/>
        <w:rPr>
          <w:spacing w:val="-1"/>
        </w:rPr>
      </w:pPr>
      <w:r>
        <w:rPr>
          <w:spacing w:val="-1"/>
        </w:rPr>
        <w:t>izvještaj o danim zajmovima i potraživanjima po danim zajmovima</w:t>
      </w:r>
    </w:p>
    <w:p w14:paraId="4331777B">
      <w:pPr>
        <w:pStyle w:val="6"/>
        <w:numPr>
          <w:ilvl w:val="1"/>
          <w:numId w:val="1"/>
        </w:numPr>
        <w:tabs>
          <w:tab w:val="left" w:pos="1553"/>
        </w:tabs>
        <w:kinsoku w:val="0"/>
        <w:overflowPunct w:val="0"/>
        <w:ind w:right="116"/>
        <w:rPr>
          <w:spacing w:val="-1"/>
        </w:rPr>
      </w:pPr>
      <w:r>
        <w:rPr>
          <w:spacing w:val="-1"/>
        </w:rPr>
        <w:t xml:space="preserve">izvještaj o stanju potraživanja i dospjelih obveza te o stanju potencijalnih obveza po osnovi sudskih sporova </w:t>
      </w:r>
    </w:p>
    <w:p w14:paraId="7E282277">
      <w:pPr>
        <w:pStyle w:val="6"/>
        <w:tabs>
          <w:tab w:val="left" w:pos="1553"/>
        </w:tabs>
        <w:kinsoku w:val="0"/>
        <w:overflowPunct w:val="0"/>
        <w:ind w:right="116"/>
        <w:rPr>
          <w:spacing w:val="-1"/>
        </w:rPr>
      </w:pPr>
    </w:p>
    <w:p w14:paraId="7E282278">
      <w:pPr>
        <w:pStyle w:val="6"/>
        <w:tabs>
          <w:tab w:val="left" w:pos="1553"/>
        </w:tabs>
        <w:kinsoku w:val="0"/>
        <w:overflowPunct w:val="0"/>
        <w:ind w:right="116"/>
        <w:rPr>
          <w:spacing w:val="-1"/>
        </w:rPr>
        <w:sectPr>
          <w:pgSz w:w="11910" w:h="16840"/>
          <w:pgMar w:top="1060" w:right="1020" w:bottom="280" w:left="1020" w:header="720" w:footer="720" w:gutter="0"/>
          <w:cols w:space="720" w:num="1"/>
        </w:sectPr>
      </w:pPr>
    </w:p>
    <w:p w14:paraId="7E282279">
      <w:pPr>
        <w:pStyle w:val="14"/>
        <w:rPr>
          <w:spacing w:val="24"/>
        </w:rPr>
      </w:pPr>
      <w:r>
        <w:t xml:space="preserve">                                                 OPĆI DIO</w:t>
      </w:r>
    </w:p>
    <w:p w14:paraId="7E28227A">
      <w:pPr>
        <w:pStyle w:val="14"/>
      </w:pPr>
      <w:r>
        <w:t xml:space="preserve">                                                 Članak 2.</w:t>
      </w:r>
    </w:p>
    <w:p w14:paraId="7E28227B">
      <w:pPr>
        <w:jc w:val="center"/>
      </w:pPr>
    </w:p>
    <w:p w14:paraId="7E28227C">
      <w:pPr>
        <w:pStyle w:val="14"/>
      </w:pPr>
      <w:r>
        <w:t>Financijski plan Osnovne škole August Cesarec za 202</w:t>
      </w:r>
      <w:r>
        <w:rPr>
          <w:rFonts w:hint="default"/>
          <w:lang w:val="hr-HR"/>
        </w:rPr>
        <w:t>5</w:t>
      </w:r>
      <w:r>
        <w:t>. s projekcijama za 202</w:t>
      </w:r>
      <w:r>
        <w:rPr>
          <w:rFonts w:hint="default"/>
          <w:lang w:val="hr-HR"/>
        </w:rPr>
        <w:t>6</w:t>
      </w:r>
      <w:r>
        <w:t>. i 202</w:t>
      </w:r>
      <w:r>
        <w:rPr>
          <w:rFonts w:hint="default"/>
          <w:lang w:val="hr-HR"/>
        </w:rPr>
        <w:t>7</w:t>
      </w:r>
      <w:r>
        <w:t>.g. ostvaren je za period od 1.1. do 31.12. kako slijedi:</w:t>
      </w:r>
      <w:r>
        <w:tab/>
      </w:r>
    </w:p>
    <w:p w14:paraId="7E28227D">
      <w:pPr>
        <w:pStyle w:val="6"/>
        <w:kinsoku w:val="0"/>
        <w:overflowPunct w:val="0"/>
        <w:ind w:left="0" w:firstLine="0"/>
        <w:jc w:val="center"/>
      </w:pPr>
    </w:p>
    <w:p w14:paraId="7E28227E">
      <w:pPr>
        <w:pStyle w:val="14"/>
        <w:numPr>
          <w:ilvl w:val="0"/>
          <w:numId w:val="2"/>
        </w:numPr>
        <w:rPr>
          <w:b/>
        </w:rPr>
      </w:pPr>
      <w:r>
        <w:rPr>
          <w:b/>
        </w:rPr>
        <w:t>Sažetak Računa prihoda i rashoda i Računa financiranja</w:t>
      </w:r>
    </w:p>
    <w:p w14:paraId="7E28227F"/>
    <w:p w14:paraId="7E282280"/>
    <w:p w14:paraId="7E282281">
      <w:pPr>
        <w:jc w:val="center"/>
      </w:pPr>
    </w:p>
    <w:p w14:paraId="7E282282"/>
    <w:p w14:paraId="7E282283"/>
    <w:p w14:paraId="7E282284">
      <w:r>
        <mc:AlternateContent>
          <mc:Choice Requires="wpg">
            <w:drawing>
              <wp:anchor distT="0" distB="0" distL="114300" distR="114300" simplePos="0" relativeHeight="251659264" behindDoc="1" locked="0" layoutInCell="0" allowOverlap="1">
                <wp:simplePos x="0" y="0"/>
                <wp:positionH relativeFrom="page">
                  <wp:posOffset>2486660</wp:posOffset>
                </wp:positionH>
                <wp:positionV relativeFrom="page">
                  <wp:posOffset>9457690</wp:posOffset>
                </wp:positionV>
                <wp:extent cx="2452370" cy="467995"/>
                <wp:effectExtent l="4445" t="0" r="635" b="3175"/>
                <wp:wrapNone/>
                <wp:docPr id="1" name="Grupa 1"/>
                <wp:cNvGraphicFramePr/>
                <a:graphic xmlns:a="http://schemas.openxmlformats.org/drawingml/2006/main">
                  <a:graphicData uri="http://schemas.microsoft.com/office/word/2010/wordprocessingGroup">
                    <wpg:wgp>
                      <wpg:cNvGrpSpPr/>
                      <wpg:grpSpPr>
                        <a:xfrm>
                          <a:off x="0" y="0"/>
                          <a:ext cx="2452370" cy="467995"/>
                          <a:chOff x="1132" y="14258"/>
                          <a:chExt cx="3862" cy="737"/>
                        </a:xfrm>
                      </wpg:grpSpPr>
                      <wps:wsp>
                        <wps:cNvPr id="2" name="Freeform 3"/>
                        <wps:cNvSpPr/>
                        <wps:spPr bwMode="auto">
                          <a:xfrm>
                            <a:off x="1132" y="14258"/>
                            <a:ext cx="3862" cy="185"/>
                          </a:xfrm>
                          <a:custGeom>
                            <a:avLst/>
                            <a:gdLst>
                              <a:gd name="T0" fmla="*/ 0 w 3862"/>
                              <a:gd name="T1" fmla="*/ 184 h 185"/>
                              <a:gd name="T2" fmla="*/ 3861 w 3862"/>
                              <a:gd name="T3" fmla="*/ 184 h 185"/>
                              <a:gd name="T4" fmla="*/ 3861 w 3862"/>
                              <a:gd name="T5" fmla="*/ 0 h 185"/>
                              <a:gd name="T6" fmla="*/ 0 w 3862"/>
                              <a:gd name="T7" fmla="*/ 0 h 185"/>
                              <a:gd name="T8" fmla="*/ 0 w 3862"/>
                              <a:gd name="T9" fmla="*/ 184 h 185"/>
                            </a:gdLst>
                            <a:ahLst/>
                            <a:cxnLst>
                              <a:cxn ang="0">
                                <a:pos x="T0" y="T1"/>
                              </a:cxn>
                              <a:cxn ang="0">
                                <a:pos x="T2" y="T3"/>
                              </a:cxn>
                              <a:cxn ang="0">
                                <a:pos x="T4" y="T5"/>
                              </a:cxn>
                              <a:cxn ang="0">
                                <a:pos x="T6" y="T7"/>
                              </a:cxn>
                              <a:cxn ang="0">
                                <a:pos x="T8" y="T9"/>
                              </a:cxn>
                            </a:cxnLst>
                            <a:rect l="0" t="0" r="r" b="b"/>
                            <a:pathLst>
                              <a:path w="3862" h="185">
                                <a:moveTo>
                                  <a:pt x="0" y="184"/>
                                </a:moveTo>
                                <a:lnTo>
                                  <a:pt x="3861" y="184"/>
                                </a:lnTo>
                                <a:lnTo>
                                  <a:pt x="3861" y="0"/>
                                </a:lnTo>
                                <a:lnTo>
                                  <a:pt x="0" y="0"/>
                                </a:lnTo>
                                <a:lnTo>
                                  <a:pt x="0" y="184"/>
                                </a:lnTo>
                                <a:close/>
                              </a:path>
                            </a:pathLst>
                          </a:custGeom>
                          <a:solidFill>
                            <a:srgbClr val="E2EFD9"/>
                          </a:solidFill>
                          <a:ln>
                            <a:noFill/>
                          </a:ln>
                        </wps:spPr>
                        <wps:bodyPr rot="0" vert="horz" wrap="square" lIns="91440" tIns="45720" rIns="91440" bIns="45720" anchor="t" anchorCtr="0" upright="1">
                          <a:noAutofit/>
                        </wps:bodyPr>
                      </wps:wsp>
                      <wps:wsp>
                        <wps:cNvPr id="3" name="Freeform 4"/>
                        <wps:cNvSpPr/>
                        <wps:spPr bwMode="auto">
                          <a:xfrm>
                            <a:off x="1132" y="14443"/>
                            <a:ext cx="3862" cy="185"/>
                          </a:xfrm>
                          <a:custGeom>
                            <a:avLst/>
                            <a:gdLst>
                              <a:gd name="T0" fmla="*/ 0 w 3862"/>
                              <a:gd name="T1" fmla="*/ 184 h 185"/>
                              <a:gd name="T2" fmla="*/ 3861 w 3862"/>
                              <a:gd name="T3" fmla="*/ 184 h 185"/>
                              <a:gd name="T4" fmla="*/ 3861 w 3862"/>
                              <a:gd name="T5" fmla="*/ 0 h 185"/>
                              <a:gd name="T6" fmla="*/ 0 w 3862"/>
                              <a:gd name="T7" fmla="*/ 0 h 185"/>
                              <a:gd name="T8" fmla="*/ 0 w 3862"/>
                              <a:gd name="T9" fmla="*/ 184 h 185"/>
                            </a:gdLst>
                            <a:ahLst/>
                            <a:cxnLst>
                              <a:cxn ang="0">
                                <a:pos x="T0" y="T1"/>
                              </a:cxn>
                              <a:cxn ang="0">
                                <a:pos x="T2" y="T3"/>
                              </a:cxn>
                              <a:cxn ang="0">
                                <a:pos x="T4" y="T5"/>
                              </a:cxn>
                              <a:cxn ang="0">
                                <a:pos x="T6" y="T7"/>
                              </a:cxn>
                              <a:cxn ang="0">
                                <a:pos x="T8" y="T9"/>
                              </a:cxn>
                            </a:cxnLst>
                            <a:rect l="0" t="0" r="r" b="b"/>
                            <a:pathLst>
                              <a:path w="3862" h="185">
                                <a:moveTo>
                                  <a:pt x="0" y="184"/>
                                </a:moveTo>
                                <a:lnTo>
                                  <a:pt x="3861" y="184"/>
                                </a:lnTo>
                                <a:lnTo>
                                  <a:pt x="3861" y="0"/>
                                </a:lnTo>
                                <a:lnTo>
                                  <a:pt x="0" y="0"/>
                                </a:lnTo>
                                <a:lnTo>
                                  <a:pt x="0" y="184"/>
                                </a:lnTo>
                                <a:close/>
                              </a:path>
                            </a:pathLst>
                          </a:custGeom>
                          <a:solidFill>
                            <a:srgbClr val="E2EFD9"/>
                          </a:solidFill>
                          <a:ln>
                            <a:noFill/>
                          </a:ln>
                        </wps:spPr>
                        <wps:bodyPr rot="0" vert="horz" wrap="square" lIns="91440" tIns="45720" rIns="91440" bIns="45720" anchor="t" anchorCtr="0" upright="1">
                          <a:noAutofit/>
                        </wps:bodyPr>
                      </wps:wsp>
                      <wps:wsp>
                        <wps:cNvPr id="4" name="Freeform 5"/>
                        <wps:cNvSpPr/>
                        <wps:spPr bwMode="auto">
                          <a:xfrm>
                            <a:off x="1132" y="14627"/>
                            <a:ext cx="3862" cy="183"/>
                          </a:xfrm>
                          <a:custGeom>
                            <a:avLst/>
                            <a:gdLst>
                              <a:gd name="T0" fmla="*/ 0 w 3862"/>
                              <a:gd name="T1" fmla="*/ 182 h 183"/>
                              <a:gd name="T2" fmla="*/ 3861 w 3862"/>
                              <a:gd name="T3" fmla="*/ 182 h 183"/>
                              <a:gd name="T4" fmla="*/ 3861 w 3862"/>
                              <a:gd name="T5" fmla="*/ 0 h 183"/>
                              <a:gd name="T6" fmla="*/ 0 w 3862"/>
                              <a:gd name="T7" fmla="*/ 0 h 183"/>
                              <a:gd name="T8" fmla="*/ 0 w 3862"/>
                              <a:gd name="T9" fmla="*/ 182 h 183"/>
                            </a:gdLst>
                            <a:ahLst/>
                            <a:cxnLst>
                              <a:cxn ang="0">
                                <a:pos x="T0" y="T1"/>
                              </a:cxn>
                              <a:cxn ang="0">
                                <a:pos x="T2" y="T3"/>
                              </a:cxn>
                              <a:cxn ang="0">
                                <a:pos x="T4" y="T5"/>
                              </a:cxn>
                              <a:cxn ang="0">
                                <a:pos x="T6" y="T7"/>
                              </a:cxn>
                              <a:cxn ang="0">
                                <a:pos x="T8" y="T9"/>
                              </a:cxn>
                            </a:cxnLst>
                            <a:rect l="0" t="0" r="r" b="b"/>
                            <a:pathLst>
                              <a:path w="3862" h="183">
                                <a:moveTo>
                                  <a:pt x="0" y="182"/>
                                </a:moveTo>
                                <a:lnTo>
                                  <a:pt x="3861" y="182"/>
                                </a:lnTo>
                                <a:lnTo>
                                  <a:pt x="3861" y="0"/>
                                </a:lnTo>
                                <a:lnTo>
                                  <a:pt x="0" y="0"/>
                                </a:lnTo>
                                <a:lnTo>
                                  <a:pt x="0" y="182"/>
                                </a:lnTo>
                                <a:close/>
                              </a:path>
                            </a:pathLst>
                          </a:custGeom>
                          <a:solidFill>
                            <a:srgbClr val="E2EFD9"/>
                          </a:solidFill>
                          <a:ln>
                            <a:noFill/>
                          </a:ln>
                        </wps:spPr>
                        <wps:bodyPr rot="0" vert="horz" wrap="square" lIns="91440" tIns="45720" rIns="91440" bIns="45720" anchor="t" anchorCtr="0" upright="1">
                          <a:noAutofit/>
                        </wps:bodyPr>
                      </wps:wsp>
                      <wps:wsp>
                        <wps:cNvPr id="5" name="Freeform 6"/>
                        <wps:cNvSpPr/>
                        <wps:spPr bwMode="auto">
                          <a:xfrm>
                            <a:off x="1132" y="14810"/>
                            <a:ext cx="3862" cy="185"/>
                          </a:xfrm>
                          <a:custGeom>
                            <a:avLst/>
                            <a:gdLst>
                              <a:gd name="T0" fmla="*/ 0 w 3862"/>
                              <a:gd name="T1" fmla="*/ 184 h 185"/>
                              <a:gd name="T2" fmla="*/ 3861 w 3862"/>
                              <a:gd name="T3" fmla="*/ 184 h 185"/>
                              <a:gd name="T4" fmla="*/ 3861 w 3862"/>
                              <a:gd name="T5" fmla="*/ 0 h 185"/>
                              <a:gd name="T6" fmla="*/ 0 w 3862"/>
                              <a:gd name="T7" fmla="*/ 0 h 185"/>
                              <a:gd name="T8" fmla="*/ 0 w 3862"/>
                              <a:gd name="T9" fmla="*/ 184 h 185"/>
                            </a:gdLst>
                            <a:ahLst/>
                            <a:cxnLst>
                              <a:cxn ang="0">
                                <a:pos x="T0" y="T1"/>
                              </a:cxn>
                              <a:cxn ang="0">
                                <a:pos x="T2" y="T3"/>
                              </a:cxn>
                              <a:cxn ang="0">
                                <a:pos x="T4" y="T5"/>
                              </a:cxn>
                              <a:cxn ang="0">
                                <a:pos x="T6" y="T7"/>
                              </a:cxn>
                              <a:cxn ang="0">
                                <a:pos x="T8" y="T9"/>
                              </a:cxn>
                            </a:cxnLst>
                            <a:rect l="0" t="0" r="r" b="b"/>
                            <a:pathLst>
                              <a:path w="3862" h="185">
                                <a:moveTo>
                                  <a:pt x="0" y="184"/>
                                </a:moveTo>
                                <a:lnTo>
                                  <a:pt x="3861" y="184"/>
                                </a:lnTo>
                                <a:lnTo>
                                  <a:pt x="3861" y="0"/>
                                </a:lnTo>
                                <a:lnTo>
                                  <a:pt x="0" y="0"/>
                                </a:lnTo>
                                <a:lnTo>
                                  <a:pt x="0" y="184"/>
                                </a:lnTo>
                                <a:close/>
                              </a:path>
                            </a:pathLst>
                          </a:custGeom>
                          <a:solidFill>
                            <a:srgbClr val="E2EFD9"/>
                          </a:solidFill>
                          <a:ln>
                            <a:noFill/>
                          </a:ln>
                        </wps:spPr>
                        <wps:bodyPr rot="0" vert="horz" wrap="square" lIns="91440" tIns="45720" rIns="91440" bIns="45720" anchor="t" anchorCtr="0" upright="1">
                          <a:noAutofit/>
                        </wps:bodyPr>
                      </wps:wsp>
                    </wpg:wgp>
                  </a:graphicData>
                </a:graphic>
              </wp:anchor>
            </w:drawing>
          </mc:Choice>
          <mc:Fallback>
            <w:pict>
              <v:group id="Grupa 1" o:spid="_x0000_s1026" o:spt="203" style="position:absolute;left:0pt;margin-left:195.8pt;margin-top:744.7pt;height:36.85pt;width:193.1pt;mso-position-horizontal-relative:page;mso-position-vertical-relative:page;z-index:-251657216;mso-width-relative:page;mso-height-relative:page;" coordorigin="1132,14258" coordsize="3862,737" o:allowincell="f" o:gfxdata="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">
                <o:lock v:ext="edit" aspectratio="f"/>
                <v:shape id="Freeform 3" o:spid="_x0000_s1026" o:spt="100" style="position:absolute;left:1132;top:14258;height:185;width:3862;" fillcolor="#E2EFD9" filled="t" stroked="f" coordsize="3862,185" o:gfxdata="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8cMgLsAAADa&#10;AAAADwAAAAAAAAABACAAAAAiAAAAZHJzL2Rvd25yZXYueG1sUEsBAhQAFAAAAAgAh07iQDMvBZ47&#10;AAAAOQAAABAAAAAAAAAAAQAgAAAACgEAAGRycy9zaGFwZXhtbC54bWxQSwUGAAAAAAYABgBbAQAA&#10;tAMAAAAA&#10;" path="m0,184l3861,184,3861,0,0,0,0,184xe">
                  <v:path o:connectlocs="0,184;3861,184;3861,0;0,0;0,184" o:connectangles="0,0,0,0,0"/>
                  <v:fill on="t" focussize="0,0"/>
                  <v:stroke on="f"/>
                  <v:imagedata o:title=""/>
                  <o:lock v:ext="edit" aspectratio="f"/>
                </v:shape>
                <v:shape id="Freeform 4" o:spid="_x0000_s1026" o:spt="100" style="position:absolute;left:1132;top:14443;height:185;width:3862;" fillcolor="#E2EFD9" filled="t" stroked="f" coordsize="3862,185" o:gfxdata="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LqRu8AAAA&#10;2gAAAA8AAAAAAAAAAQAgAAAAIgAAAGRycy9kb3ducmV2LnhtbFBLAQIUABQAAAAIAIdO4kAzLwWe&#10;OwAAADkAAAAQAAAAAAAAAAEAIAAAAAsBAABkcnMvc2hhcGV4bWwueG1sUEsFBgAAAAAGAAYAWwEA&#10;ALUDAAAAAA==&#10;" path="m0,184l3861,184,3861,0,0,0,0,184xe">
                  <v:path o:connectlocs="0,184;3861,184;3861,0;0,0;0,184" o:connectangles="0,0,0,0,0"/>
                  <v:fill on="t" focussize="0,0"/>
                  <v:stroke on="f"/>
                  <v:imagedata o:title=""/>
                  <o:lock v:ext="edit" aspectratio="f"/>
                </v:shape>
                <v:shape id="Freeform 5" o:spid="_x0000_s1026" o:spt="100" style="position:absolute;left:1132;top:14627;height:183;width:3862;" fillcolor="#E2EFD9" filled="t" stroked="f" coordsize="3862,183" o:gfxdata="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FDm6LgAAADaAAAA&#10;DwAAAAAAAAABACAAAAAiAAAAZHJzL2Rvd25yZXYueG1sUEsBAhQAFAAAAAgAh07iQDMvBZ47AAAA&#10;OQAAABAAAAAAAAAAAQAgAAAABwEAAGRycy9zaGFwZXhtbC54bWxQSwUGAAAAAAYABgBbAQAAsQMA&#10;AAAA&#10;" path="m0,182l3861,182,3861,0,0,0,0,182xe">
                  <v:path o:connectlocs="0,182;3861,182;3861,0;0,0;0,182" o:connectangles="0,0,0,0,0"/>
                  <v:fill on="t" focussize="0,0"/>
                  <v:stroke on="f"/>
                  <v:imagedata o:title=""/>
                  <o:lock v:ext="edit" aspectratio="f"/>
                </v:shape>
                <v:shape id="Freeform 6" o:spid="_x0000_s1026" o:spt="100" style="position:absolute;left:1132;top:14810;height:185;width:3862;" fillcolor="#E2EFD9" filled="t" stroked="f" coordsize="3862,185" o:gfxdata="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AulPS8AAAA&#10;2gAAAA8AAAAAAAAAAQAgAAAAIgAAAGRycy9kb3ducmV2LnhtbFBLAQIUABQAAAAIAIdO4kAzLwWe&#10;OwAAADkAAAAQAAAAAAAAAAEAIAAAAAsBAABkcnMvc2hhcGV4bWwueG1sUEsFBgAAAAAGAAYAWwEA&#10;ALUDAAAAAA==&#10;" path="m0,184l3861,184,3861,0,0,0,0,184xe">
                  <v:path o:connectlocs="0,184;3861,184;3861,0;0,0;0,184" o:connectangles="0,0,0,0,0"/>
                  <v:fill on="t" focussize="0,0"/>
                  <v:stroke on="f"/>
                  <v:imagedata o:title=""/>
                  <o:lock v:ext="edit" aspectratio="f"/>
                </v:shape>
              </v:group>
            </w:pict>
          </mc:Fallback>
        </mc:AlternateContent>
      </w:r>
    </w:p>
    <w:p w14:paraId="35774D12">
      <w:r>
        <w:drawing>
          <wp:inline distT="0" distB="0" distL="0" distR="0">
            <wp:extent cx="9988550" cy="2794635"/>
            <wp:effectExtent l="0" t="0" r="0" b="571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0540096" cy="2948766"/>
                    </a:xfrm>
                    <a:prstGeom prst="rect">
                      <a:avLst/>
                    </a:prstGeom>
                    <a:noFill/>
                    <a:ln>
                      <a:noFill/>
                    </a:ln>
                  </pic:spPr>
                </pic:pic>
              </a:graphicData>
            </a:graphic>
          </wp:inline>
        </w:drawing>
      </w:r>
    </w:p>
    <w:p w14:paraId="22E6C5FC"/>
    <w:p w14:paraId="1B360633"/>
    <w:p w14:paraId="33C09EDA"/>
    <w:tbl>
      <w:tblPr>
        <w:tblStyle w:val="4"/>
        <w:tblW w:w="15800" w:type="dxa"/>
        <w:tblInd w:w="0" w:type="dxa"/>
        <w:tblLayout w:type="autofit"/>
        <w:tblCellMar>
          <w:top w:w="0" w:type="dxa"/>
          <w:left w:w="108" w:type="dxa"/>
          <w:bottom w:w="0" w:type="dxa"/>
          <w:right w:w="108" w:type="dxa"/>
        </w:tblCellMar>
      </w:tblPr>
      <w:tblGrid>
        <w:gridCol w:w="15800"/>
      </w:tblGrid>
      <w:tr w14:paraId="015457B1">
        <w:tblPrEx>
          <w:tblCellMar>
            <w:top w:w="0" w:type="dxa"/>
            <w:left w:w="108" w:type="dxa"/>
            <w:bottom w:w="0" w:type="dxa"/>
            <w:right w:w="108" w:type="dxa"/>
          </w:tblCellMar>
        </w:tblPrEx>
        <w:trPr>
          <w:trHeight w:val="375" w:hRule="atLeast"/>
        </w:trPr>
        <w:tc>
          <w:tcPr>
            <w:tcW w:w="15800" w:type="dxa"/>
            <w:tcBorders>
              <w:top w:val="nil"/>
              <w:left w:val="nil"/>
              <w:bottom w:val="nil"/>
              <w:right w:val="nil"/>
            </w:tcBorders>
            <w:shd w:val="clear" w:color="auto" w:fill="auto"/>
            <w:noWrap/>
            <w:vAlign w:val="bottom"/>
          </w:tcPr>
          <w:p w14:paraId="7FEF6F66">
            <w:pPr>
              <w:pStyle w:val="6"/>
              <w:kinsoku w:val="0"/>
              <w:overflowPunct w:val="0"/>
              <w:spacing w:before="63"/>
              <w:ind w:left="147" w:firstLine="0"/>
              <w:rPr>
                <w:rFonts w:ascii="Arial" w:hAnsi="Arial" w:cs="Arial"/>
                <w:sz w:val="20"/>
                <w:szCs w:val="20"/>
              </w:rPr>
            </w:pPr>
            <w:r>
              <w:rPr>
                <w:rFonts w:ascii="Arial" w:hAnsi="Arial" w:cs="Arial"/>
                <w:b/>
                <w:bCs/>
                <w:spacing w:val="-8"/>
                <w:sz w:val="20"/>
                <w:szCs w:val="20"/>
              </w:rPr>
              <w:t xml:space="preserve">B.  </w:t>
            </w:r>
            <w:r>
              <w:rPr>
                <w:rFonts w:ascii="Arial" w:hAnsi="Arial" w:cs="Arial"/>
                <w:b/>
                <w:bCs/>
                <w:spacing w:val="-2"/>
                <w:sz w:val="20"/>
                <w:szCs w:val="20"/>
              </w:rPr>
              <w:t>RAČUN</w:t>
            </w:r>
            <w:r>
              <w:rPr>
                <w:rFonts w:ascii="Arial" w:hAnsi="Arial" w:cs="Arial"/>
                <w:b/>
                <w:bCs/>
                <w:spacing w:val="-8"/>
                <w:sz w:val="20"/>
                <w:szCs w:val="20"/>
              </w:rPr>
              <w:t xml:space="preserve"> </w:t>
            </w:r>
            <w:r>
              <w:rPr>
                <w:rFonts w:ascii="Arial" w:hAnsi="Arial" w:cs="Arial"/>
                <w:b/>
                <w:bCs/>
                <w:spacing w:val="-1"/>
                <w:sz w:val="20"/>
                <w:szCs w:val="20"/>
              </w:rPr>
              <w:t>PRIHODA</w:t>
            </w:r>
            <w:r>
              <w:rPr>
                <w:rFonts w:ascii="Arial" w:hAnsi="Arial" w:cs="Arial"/>
                <w:b/>
                <w:bCs/>
                <w:spacing w:val="-13"/>
                <w:sz w:val="20"/>
                <w:szCs w:val="20"/>
              </w:rPr>
              <w:t xml:space="preserve"> </w:t>
            </w:r>
            <w:r>
              <w:rPr>
                <w:rFonts w:ascii="Arial" w:hAnsi="Arial" w:cs="Arial"/>
                <w:b/>
                <w:bCs/>
                <w:sz w:val="20"/>
                <w:szCs w:val="20"/>
              </w:rPr>
              <w:t>I</w:t>
            </w:r>
            <w:r>
              <w:rPr>
                <w:rFonts w:ascii="Arial" w:hAnsi="Arial" w:cs="Arial"/>
                <w:b/>
                <w:bCs/>
                <w:spacing w:val="-8"/>
                <w:sz w:val="20"/>
                <w:szCs w:val="20"/>
              </w:rPr>
              <w:t xml:space="preserve"> </w:t>
            </w:r>
            <w:r>
              <w:rPr>
                <w:rFonts w:ascii="Arial" w:hAnsi="Arial" w:cs="Arial"/>
                <w:b/>
                <w:bCs/>
                <w:spacing w:val="-2"/>
                <w:sz w:val="20"/>
                <w:szCs w:val="20"/>
              </w:rPr>
              <w:t>RASHODA</w:t>
            </w:r>
          </w:p>
          <w:p w14:paraId="21C79964">
            <w:pPr>
              <w:widowControl/>
              <w:autoSpaceDE/>
              <w:autoSpaceDN/>
              <w:adjustRightInd/>
              <w:jc w:val="center"/>
              <w:rPr>
                <w:rFonts w:ascii="Calibri" w:hAnsi="Calibri" w:eastAsia="Times New Roman" w:cs="Calibri"/>
                <w:b/>
                <w:bCs/>
                <w:sz w:val="28"/>
                <w:szCs w:val="28"/>
                <w:lang w:val="en-US" w:eastAsia="en-US"/>
              </w:rPr>
            </w:pPr>
            <w:r>
              <w:rPr>
                <w:rFonts w:ascii="Calibri" w:hAnsi="Calibri" w:eastAsia="Times New Roman" w:cs="Calibri"/>
                <w:b/>
                <w:bCs/>
                <w:sz w:val="28"/>
                <w:szCs w:val="28"/>
                <w:lang w:val="en-US" w:eastAsia="en-US"/>
              </w:rPr>
              <w:t>Prihodi i rashodi prema ekonomskoj klasifikaciji</w:t>
            </w:r>
          </w:p>
        </w:tc>
      </w:tr>
      <w:tr w14:paraId="00CCE512">
        <w:tblPrEx>
          <w:tblCellMar>
            <w:top w:w="0" w:type="dxa"/>
            <w:left w:w="108" w:type="dxa"/>
            <w:bottom w:w="0" w:type="dxa"/>
            <w:right w:w="108" w:type="dxa"/>
          </w:tblCellMar>
        </w:tblPrEx>
        <w:trPr>
          <w:trHeight w:val="106" w:hRule="atLeast"/>
        </w:trPr>
        <w:tc>
          <w:tcPr>
            <w:tcW w:w="15800" w:type="dxa"/>
            <w:tcBorders>
              <w:top w:val="nil"/>
              <w:left w:val="nil"/>
              <w:bottom w:val="nil"/>
              <w:right w:val="nil"/>
            </w:tcBorders>
            <w:shd w:val="clear" w:color="auto" w:fill="auto"/>
            <w:noWrap/>
            <w:vAlign w:val="bottom"/>
          </w:tcPr>
          <w:p w14:paraId="1BB4C3EC">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 razdoblje od 01.01.2024. do 31.12.2024.</w:t>
            </w:r>
          </w:p>
        </w:tc>
      </w:tr>
    </w:tbl>
    <w:p w14:paraId="7E282285">
      <w:pPr>
        <w:tabs>
          <w:tab w:val="left" w:pos="2265"/>
        </w:tabs>
        <w:sectPr>
          <w:pgSz w:w="16840" w:h="11910" w:orient="landscape"/>
          <w:pgMar w:top="920" w:right="1060" w:bottom="1020" w:left="280" w:header="720" w:footer="720" w:gutter="0"/>
          <w:cols w:equalWidth="0" w:num="1">
            <w:col w:w="9190"/>
          </w:cols>
          <w:docGrid w:linePitch="326" w:charSpace="0"/>
        </w:sectPr>
      </w:pPr>
    </w:p>
    <w:tbl>
      <w:tblPr>
        <w:tblStyle w:val="4"/>
        <w:tblpPr w:leftFromText="180" w:rightFromText="180" w:horzAnchor="margin" w:tblpXSpec="center" w:tblpY="-1410"/>
        <w:tblW w:w="14520" w:type="dxa"/>
        <w:tblInd w:w="0" w:type="dxa"/>
        <w:tblLayout w:type="autofit"/>
        <w:tblCellMar>
          <w:top w:w="0" w:type="dxa"/>
          <w:left w:w="108" w:type="dxa"/>
          <w:bottom w:w="0" w:type="dxa"/>
          <w:right w:w="108" w:type="dxa"/>
        </w:tblCellMar>
      </w:tblPr>
      <w:tblGrid>
        <w:gridCol w:w="7625"/>
        <w:gridCol w:w="1614"/>
        <w:gridCol w:w="1443"/>
        <w:gridCol w:w="1443"/>
        <w:gridCol w:w="1222"/>
        <w:gridCol w:w="1173"/>
      </w:tblGrid>
      <w:tr w14:paraId="1E074B76">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000000" w:fill="C0C0C0"/>
            <w:noWrap/>
            <w:vAlign w:val="bottom"/>
          </w:tcPr>
          <w:p w14:paraId="7F96DD3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Račun / opis</w:t>
            </w:r>
          </w:p>
        </w:tc>
        <w:tc>
          <w:tcPr>
            <w:tcW w:w="1614" w:type="dxa"/>
            <w:tcBorders>
              <w:top w:val="single" w:color="auto" w:sz="4" w:space="0"/>
              <w:left w:val="nil"/>
              <w:bottom w:val="single" w:color="auto" w:sz="4" w:space="0"/>
              <w:right w:val="single" w:color="auto" w:sz="4" w:space="0"/>
            </w:tcBorders>
            <w:shd w:val="clear" w:color="000000" w:fill="C0C0C0"/>
            <w:noWrap/>
            <w:vAlign w:val="bottom"/>
          </w:tcPr>
          <w:p w14:paraId="59B150DC">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2023.</w:t>
            </w:r>
          </w:p>
        </w:tc>
        <w:tc>
          <w:tcPr>
            <w:tcW w:w="1443" w:type="dxa"/>
            <w:tcBorders>
              <w:top w:val="single" w:color="auto" w:sz="4" w:space="0"/>
              <w:left w:val="nil"/>
              <w:bottom w:val="single" w:color="auto" w:sz="4" w:space="0"/>
              <w:right w:val="single" w:color="auto" w:sz="4" w:space="0"/>
            </w:tcBorders>
            <w:shd w:val="clear" w:color="000000" w:fill="C0C0C0"/>
            <w:noWrap/>
            <w:vAlign w:val="bottom"/>
          </w:tcPr>
          <w:p w14:paraId="0277E5A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Izvorni plan /rebalans 2024.</w:t>
            </w:r>
          </w:p>
        </w:tc>
        <w:tc>
          <w:tcPr>
            <w:tcW w:w="1443" w:type="dxa"/>
            <w:tcBorders>
              <w:top w:val="single" w:color="auto" w:sz="4" w:space="0"/>
              <w:left w:val="nil"/>
              <w:bottom w:val="single" w:color="auto" w:sz="4" w:space="0"/>
              <w:right w:val="single" w:color="auto" w:sz="4" w:space="0"/>
            </w:tcBorders>
            <w:shd w:val="clear" w:color="000000" w:fill="C0C0C0"/>
            <w:noWrap/>
            <w:vAlign w:val="bottom"/>
          </w:tcPr>
          <w:p w14:paraId="4CB240C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2024.</w:t>
            </w:r>
          </w:p>
        </w:tc>
        <w:tc>
          <w:tcPr>
            <w:tcW w:w="1222" w:type="dxa"/>
            <w:tcBorders>
              <w:top w:val="single" w:color="auto" w:sz="4" w:space="0"/>
              <w:left w:val="nil"/>
              <w:bottom w:val="single" w:color="auto" w:sz="4" w:space="0"/>
              <w:right w:val="single" w:color="auto" w:sz="4" w:space="0"/>
            </w:tcBorders>
            <w:shd w:val="clear" w:color="000000" w:fill="C0C0C0"/>
            <w:noWrap/>
            <w:vAlign w:val="bottom"/>
          </w:tcPr>
          <w:p w14:paraId="6D6C484B">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3/1</w:t>
            </w:r>
          </w:p>
        </w:tc>
        <w:tc>
          <w:tcPr>
            <w:tcW w:w="1173" w:type="dxa"/>
            <w:tcBorders>
              <w:top w:val="single" w:color="auto" w:sz="4" w:space="0"/>
              <w:left w:val="nil"/>
              <w:bottom w:val="single" w:color="auto" w:sz="4" w:space="0"/>
              <w:right w:val="single" w:color="auto" w:sz="4" w:space="0"/>
            </w:tcBorders>
            <w:shd w:val="clear" w:color="000000" w:fill="C0C0C0"/>
            <w:noWrap/>
            <w:vAlign w:val="bottom"/>
          </w:tcPr>
          <w:p w14:paraId="6E1E5DF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3/2</w:t>
            </w:r>
          </w:p>
        </w:tc>
      </w:tr>
      <w:tr w14:paraId="4897430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000000" w:fill="808080"/>
            <w:noWrap/>
            <w:vAlign w:val="bottom"/>
          </w:tcPr>
          <w:p w14:paraId="18E69E0C">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A. RAČUN PRIHODA I RASHODA</w:t>
            </w:r>
          </w:p>
        </w:tc>
        <w:tc>
          <w:tcPr>
            <w:tcW w:w="1614" w:type="dxa"/>
            <w:tcBorders>
              <w:top w:val="single" w:color="auto" w:sz="4" w:space="0"/>
              <w:left w:val="nil"/>
              <w:bottom w:val="single" w:color="auto" w:sz="4" w:space="0"/>
              <w:right w:val="single" w:color="auto" w:sz="4" w:space="0"/>
            </w:tcBorders>
            <w:shd w:val="clear" w:color="000000" w:fill="808080"/>
            <w:noWrap/>
            <w:vAlign w:val="bottom"/>
          </w:tcPr>
          <w:p w14:paraId="624A0454">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w:t>
            </w:r>
          </w:p>
        </w:tc>
        <w:tc>
          <w:tcPr>
            <w:tcW w:w="1443" w:type="dxa"/>
            <w:tcBorders>
              <w:top w:val="single" w:color="auto" w:sz="4" w:space="0"/>
              <w:left w:val="nil"/>
              <w:bottom w:val="single" w:color="auto" w:sz="4" w:space="0"/>
              <w:right w:val="single" w:color="auto" w:sz="4" w:space="0"/>
            </w:tcBorders>
            <w:shd w:val="clear" w:color="000000" w:fill="808080"/>
            <w:noWrap/>
            <w:vAlign w:val="bottom"/>
          </w:tcPr>
          <w:p w14:paraId="4C94FFC7">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w:t>
            </w:r>
          </w:p>
        </w:tc>
        <w:tc>
          <w:tcPr>
            <w:tcW w:w="1443" w:type="dxa"/>
            <w:tcBorders>
              <w:top w:val="single" w:color="auto" w:sz="4" w:space="0"/>
              <w:left w:val="nil"/>
              <w:bottom w:val="single" w:color="auto" w:sz="4" w:space="0"/>
              <w:right w:val="single" w:color="auto" w:sz="4" w:space="0"/>
            </w:tcBorders>
            <w:shd w:val="clear" w:color="000000" w:fill="808080"/>
            <w:noWrap/>
            <w:vAlign w:val="bottom"/>
          </w:tcPr>
          <w:p w14:paraId="0B255967">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3</w:t>
            </w:r>
          </w:p>
        </w:tc>
        <w:tc>
          <w:tcPr>
            <w:tcW w:w="1222" w:type="dxa"/>
            <w:tcBorders>
              <w:top w:val="single" w:color="auto" w:sz="4" w:space="0"/>
              <w:left w:val="nil"/>
              <w:bottom w:val="single" w:color="auto" w:sz="4" w:space="0"/>
              <w:right w:val="single" w:color="auto" w:sz="4" w:space="0"/>
            </w:tcBorders>
            <w:shd w:val="clear" w:color="000000" w:fill="808080"/>
            <w:noWrap/>
            <w:vAlign w:val="bottom"/>
          </w:tcPr>
          <w:p w14:paraId="32E36B4F">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4</w:t>
            </w:r>
          </w:p>
        </w:tc>
        <w:tc>
          <w:tcPr>
            <w:tcW w:w="1173" w:type="dxa"/>
            <w:tcBorders>
              <w:top w:val="nil"/>
              <w:left w:val="nil"/>
              <w:bottom w:val="single" w:color="auto" w:sz="4" w:space="0"/>
              <w:right w:val="single" w:color="auto" w:sz="4" w:space="0"/>
            </w:tcBorders>
            <w:shd w:val="clear" w:color="000000" w:fill="808080"/>
            <w:noWrap/>
            <w:vAlign w:val="bottom"/>
          </w:tcPr>
          <w:p w14:paraId="59987397">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5</w:t>
            </w:r>
          </w:p>
        </w:tc>
      </w:tr>
      <w:tr w14:paraId="245C5ED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F3D901">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 Prihodi poslovanja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ED8FDA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1.418.717,65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58837C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2.247.712,29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5D1938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2.184.445,60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4159D0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153,97%</w:t>
            </w:r>
          </w:p>
        </w:tc>
        <w:tc>
          <w:tcPr>
            <w:tcW w:w="1173" w:type="dxa"/>
            <w:tcBorders>
              <w:top w:val="nil"/>
              <w:left w:val="nil"/>
              <w:bottom w:val="single" w:color="auto" w:sz="4" w:space="0"/>
              <w:right w:val="single" w:color="auto" w:sz="4" w:space="0"/>
            </w:tcBorders>
            <w:shd w:val="clear" w:color="auto" w:fill="auto"/>
            <w:noWrap/>
            <w:vAlign w:val="bottom"/>
          </w:tcPr>
          <w:p w14:paraId="4C34E5B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97,19%</w:t>
            </w:r>
          </w:p>
        </w:tc>
      </w:tr>
      <w:tr w14:paraId="7E3BF1F4">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6B01A8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63 Pomoći iz inozemstva i od subjekata unutar općeg proračuna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CF6898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1.333.469,04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905F94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2.105.548,49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537C87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2.049.119,10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813651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153,67%</w:t>
            </w:r>
          </w:p>
        </w:tc>
        <w:tc>
          <w:tcPr>
            <w:tcW w:w="1173" w:type="dxa"/>
            <w:tcBorders>
              <w:top w:val="nil"/>
              <w:left w:val="nil"/>
              <w:bottom w:val="single" w:color="auto" w:sz="4" w:space="0"/>
              <w:right w:val="single" w:color="auto" w:sz="4" w:space="0"/>
            </w:tcBorders>
            <w:shd w:val="clear" w:color="auto" w:fill="auto"/>
            <w:noWrap/>
            <w:vAlign w:val="bottom"/>
          </w:tcPr>
          <w:p w14:paraId="6B1ACD1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97,32%</w:t>
            </w:r>
          </w:p>
        </w:tc>
      </w:tr>
      <w:tr w14:paraId="25E12CE8">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BE19C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636 Pomoći proračunskim korisnicima iz proračuna koji im nije nadležan</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3F0803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1.320.058,98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C72FD3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26A0FC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2.031.855,47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9EB765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153,92%</w:t>
            </w:r>
          </w:p>
        </w:tc>
        <w:tc>
          <w:tcPr>
            <w:tcW w:w="1173" w:type="dxa"/>
            <w:tcBorders>
              <w:top w:val="nil"/>
              <w:left w:val="nil"/>
              <w:bottom w:val="single" w:color="auto" w:sz="4" w:space="0"/>
              <w:right w:val="single" w:color="auto" w:sz="4" w:space="0"/>
            </w:tcBorders>
            <w:shd w:val="clear" w:color="auto" w:fill="auto"/>
            <w:noWrap/>
            <w:vAlign w:val="bottom"/>
          </w:tcPr>
          <w:p w14:paraId="3926F06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5752D2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848E6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6361 Tekuće pomoći proračunskim korisnicima iz proračuna koji im nije nadležan</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A58FD1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1.300.069,57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2F2EB4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C38969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2.005.727,80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1F55D7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154,28%</w:t>
            </w:r>
          </w:p>
        </w:tc>
        <w:tc>
          <w:tcPr>
            <w:tcW w:w="1173" w:type="dxa"/>
            <w:tcBorders>
              <w:top w:val="nil"/>
              <w:left w:val="nil"/>
              <w:bottom w:val="single" w:color="auto" w:sz="4" w:space="0"/>
              <w:right w:val="single" w:color="auto" w:sz="4" w:space="0"/>
            </w:tcBorders>
            <w:shd w:val="clear" w:color="auto" w:fill="auto"/>
            <w:noWrap/>
            <w:vAlign w:val="bottom"/>
          </w:tcPr>
          <w:p w14:paraId="3D0EA24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D522CD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B5319F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6362 Kapitalne pomoći proračunskim korisnicima iz proračuna koji im nije nadležan</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E1749D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19.989,41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E783FF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63A49B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26.127,67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52B7FD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130,71%</w:t>
            </w:r>
          </w:p>
        </w:tc>
        <w:tc>
          <w:tcPr>
            <w:tcW w:w="1173" w:type="dxa"/>
            <w:tcBorders>
              <w:top w:val="nil"/>
              <w:left w:val="nil"/>
              <w:bottom w:val="single" w:color="auto" w:sz="4" w:space="0"/>
              <w:right w:val="single" w:color="auto" w:sz="4" w:space="0"/>
            </w:tcBorders>
            <w:shd w:val="clear" w:color="auto" w:fill="auto"/>
            <w:noWrap/>
            <w:vAlign w:val="bottom"/>
          </w:tcPr>
          <w:p w14:paraId="60D382E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81970FA">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8FFCA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638 Pomoći temeljem prijenosa EU sredstava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2DCF28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13.317,15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152018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211B75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17.170,72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CB364E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128,94%</w:t>
            </w:r>
          </w:p>
        </w:tc>
        <w:tc>
          <w:tcPr>
            <w:tcW w:w="1173" w:type="dxa"/>
            <w:tcBorders>
              <w:top w:val="nil"/>
              <w:left w:val="nil"/>
              <w:bottom w:val="single" w:color="auto" w:sz="4" w:space="0"/>
              <w:right w:val="single" w:color="auto" w:sz="4" w:space="0"/>
            </w:tcBorders>
            <w:shd w:val="clear" w:color="auto" w:fill="auto"/>
            <w:noWrap/>
            <w:vAlign w:val="bottom"/>
          </w:tcPr>
          <w:p w14:paraId="593241F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9548770">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10154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6381 Tekuće pomoći temeljem prijenosa EU sredstava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B0CA1A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13.317,15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EA2563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4D3597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17.170,72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B1B4AD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128,94%</w:t>
            </w:r>
          </w:p>
        </w:tc>
        <w:tc>
          <w:tcPr>
            <w:tcW w:w="1173" w:type="dxa"/>
            <w:tcBorders>
              <w:top w:val="nil"/>
              <w:left w:val="nil"/>
              <w:bottom w:val="single" w:color="auto" w:sz="4" w:space="0"/>
              <w:right w:val="single" w:color="auto" w:sz="4" w:space="0"/>
            </w:tcBorders>
            <w:shd w:val="clear" w:color="auto" w:fill="auto"/>
            <w:noWrap/>
            <w:vAlign w:val="bottom"/>
          </w:tcPr>
          <w:p w14:paraId="611337E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71B0BA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DCAA7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639 Prijenosi između proračunskih korisnika istog proračuna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E840B0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92,91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AA7816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71D1ED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92,91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336168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100,00%</w:t>
            </w:r>
          </w:p>
        </w:tc>
        <w:tc>
          <w:tcPr>
            <w:tcW w:w="1173" w:type="dxa"/>
            <w:tcBorders>
              <w:top w:val="nil"/>
              <w:left w:val="nil"/>
              <w:bottom w:val="single" w:color="auto" w:sz="4" w:space="0"/>
              <w:right w:val="single" w:color="auto" w:sz="4" w:space="0"/>
            </w:tcBorders>
            <w:shd w:val="clear" w:color="auto" w:fill="auto"/>
            <w:noWrap/>
            <w:vAlign w:val="bottom"/>
          </w:tcPr>
          <w:p w14:paraId="3D0BC1E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B7F8C7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9B7AE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6391 Tekući prijenosi između proračunskih korisnika istog proračuna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EC703A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92,91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3E4E52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F38EDC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92,91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605C90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100,00%</w:t>
            </w:r>
          </w:p>
        </w:tc>
        <w:tc>
          <w:tcPr>
            <w:tcW w:w="1173" w:type="dxa"/>
            <w:tcBorders>
              <w:top w:val="nil"/>
              <w:left w:val="nil"/>
              <w:bottom w:val="single" w:color="auto" w:sz="4" w:space="0"/>
              <w:right w:val="single" w:color="auto" w:sz="4" w:space="0"/>
            </w:tcBorders>
            <w:shd w:val="clear" w:color="auto" w:fill="auto"/>
            <w:noWrap/>
            <w:vAlign w:val="bottom"/>
          </w:tcPr>
          <w:p w14:paraId="46FCCE3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A68F997">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3D6AF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65 Prihodi od upravnih i administrativnih pristojbi, pristojbi po posebnim propisima i naknada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A3D00D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16.015,27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156D92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5.000,00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BD68AB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400,00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094292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2,50%</w:t>
            </w:r>
          </w:p>
        </w:tc>
        <w:tc>
          <w:tcPr>
            <w:tcW w:w="1173" w:type="dxa"/>
            <w:tcBorders>
              <w:top w:val="nil"/>
              <w:left w:val="nil"/>
              <w:bottom w:val="single" w:color="auto" w:sz="4" w:space="0"/>
              <w:right w:val="single" w:color="auto" w:sz="4" w:space="0"/>
            </w:tcBorders>
            <w:shd w:val="clear" w:color="auto" w:fill="auto"/>
            <w:noWrap/>
            <w:vAlign w:val="bottom"/>
          </w:tcPr>
          <w:p w14:paraId="7EFBBC0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8,00%</w:t>
            </w:r>
          </w:p>
        </w:tc>
      </w:tr>
      <w:tr w14:paraId="18C849E4">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3BCD6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652 Prihodi po posebnim propisima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942CC9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16.015,27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2AEB7B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3CA7D3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A324E0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2,50%</w:t>
            </w:r>
          </w:p>
        </w:tc>
        <w:tc>
          <w:tcPr>
            <w:tcW w:w="1173" w:type="dxa"/>
            <w:tcBorders>
              <w:top w:val="nil"/>
              <w:left w:val="nil"/>
              <w:bottom w:val="single" w:color="auto" w:sz="4" w:space="0"/>
              <w:right w:val="single" w:color="auto" w:sz="4" w:space="0"/>
            </w:tcBorders>
            <w:shd w:val="clear" w:color="auto" w:fill="auto"/>
            <w:noWrap/>
            <w:vAlign w:val="bottom"/>
          </w:tcPr>
          <w:p w14:paraId="56E7E1A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5AA60E3">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C7663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6526 Ostali nespomenuti prihodi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AA993F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16.015,27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69E3CD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F91540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55192C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2,50%</w:t>
            </w:r>
          </w:p>
        </w:tc>
        <w:tc>
          <w:tcPr>
            <w:tcW w:w="1173" w:type="dxa"/>
            <w:tcBorders>
              <w:top w:val="nil"/>
              <w:left w:val="nil"/>
              <w:bottom w:val="single" w:color="auto" w:sz="4" w:space="0"/>
              <w:right w:val="single" w:color="auto" w:sz="4" w:space="0"/>
            </w:tcBorders>
            <w:shd w:val="clear" w:color="auto" w:fill="auto"/>
            <w:noWrap/>
            <w:vAlign w:val="bottom"/>
          </w:tcPr>
          <w:p w14:paraId="75785D9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ED34AF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53BCC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66 Prihodi od prodaje proizvoda i robe te pruženih usluga, prihodi od donacija i povrati po protestira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B7F0A9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5.545,78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3C6484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7.500,00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8D09F2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5.753,18</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6761AD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103,74%</w:t>
            </w:r>
          </w:p>
        </w:tc>
        <w:tc>
          <w:tcPr>
            <w:tcW w:w="1173" w:type="dxa"/>
            <w:tcBorders>
              <w:top w:val="nil"/>
              <w:left w:val="nil"/>
              <w:bottom w:val="single" w:color="auto" w:sz="4" w:space="0"/>
              <w:right w:val="single" w:color="auto" w:sz="4" w:space="0"/>
            </w:tcBorders>
            <w:shd w:val="clear" w:color="auto" w:fill="auto"/>
            <w:noWrap/>
            <w:vAlign w:val="bottom"/>
          </w:tcPr>
          <w:p w14:paraId="1BF19AF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76,71%</w:t>
            </w:r>
          </w:p>
        </w:tc>
      </w:tr>
      <w:tr w14:paraId="0422C6B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F030B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661 Prihodi od prodaje proizvoda i robe te pruženih usluga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B89926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5.545,78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7C3576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BFD1BA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4.943,18</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819CA1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89,13%</w:t>
            </w:r>
          </w:p>
        </w:tc>
        <w:tc>
          <w:tcPr>
            <w:tcW w:w="1173" w:type="dxa"/>
            <w:tcBorders>
              <w:top w:val="nil"/>
              <w:left w:val="nil"/>
              <w:bottom w:val="single" w:color="auto" w:sz="4" w:space="0"/>
              <w:right w:val="single" w:color="auto" w:sz="4" w:space="0"/>
            </w:tcBorders>
            <w:shd w:val="clear" w:color="auto" w:fill="auto"/>
            <w:noWrap/>
            <w:vAlign w:val="bottom"/>
          </w:tcPr>
          <w:p w14:paraId="006A2BE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797C677">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2EEC4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6615 Prihodi od pruženih usluga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42AED7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5.545,78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DE4B30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9B4708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4.943,18</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A4EB1C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89,13%</w:t>
            </w:r>
          </w:p>
        </w:tc>
        <w:tc>
          <w:tcPr>
            <w:tcW w:w="1173" w:type="dxa"/>
            <w:tcBorders>
              <w:top w:val="nil"/>
              <w:left w:val="nil"/>
              <w:bottom w:val="single" w:color="auto" w:sz="4" w:space="0"/>
              <w:right w:val="single" w:color="auto" w:sz="4" w:space="0"/>
            </w:tcBorders>
            <w:shd w:val="clear" w:color="auto" w:fill="auto"/>
            <w:noWrap/>
            <w:vAlign w:val="bottom"/>
          </w:tcPr>
          <w:p w14:paraId="58080AE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3DD2081">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A5AF0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663 Donacije od pravnih i fizičkih osoba izvan općeg proračuna i povrat donacija po protestiranim jamst</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3396E2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D446FC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5808D9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810,00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FC5C7F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2194C88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E9FAF6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34E9A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6631 Tekuće donacije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9F5728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836A4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35EAE1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810,00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24A587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693197F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ACD60A7">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19DA7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67 Prihodi iz nadležnog proračuna i od HZZO-a temeljem ugovornih obveza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DDFCAD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63.687,56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D75ADB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129.663,80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69618E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129.173,32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74529A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202,82%</w:t>
            </w:r>
          </w:p>
        </w:tc>
        <w:tc>
          <w:tcPr>
            <w:tcW w:w="1173" w:type="dxa"/>
            <w:tcBorders>
              <w:top w:val="nil"/>
              <w:left w:val="nil"/>
              <w:bottom w:val="single" w:color="auto" w:sz="4" w:space="0"/>
              <w:right w:val="single" w:color="auto" w:sz="4" w:space="0"/>
            </w:tcBorders>
            <w:shd w:val="clear" w:color="auto" w:fill="auto"/>
            <w:noWrap/>
            <w:vAlign w:val="bottom"/>
          </w:tcPr>
          <w:p w14:paraId="135BFB8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99,62%</w:t>
            </w:r>
          </w:p>
        </w:tc>
      </w:tr>
      <w:tr w14:paraId="0F3CDF7F">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01D51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671 Prihodi iz nadležnog proračuna za financiranje redovne djelatnosti proračunskih korisnika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559895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63.687,56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6F66CE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6BBB5E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129.173,32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A3E214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202,82%</w:t>
            </w:r>
          </w:p>
        </w:tc>
        <w:tc>
          <w:tcPr>
            <w:tcW w:w="1173" w:type="dxa"/>
            <w:tcBorders>
              <w:top w:val="nil"/>
              <w:left w:val="nil"/>
              <w:bottom w:val="single" w:color="auto" w:sz="4" w:space="0"/>
              <w:right w:val="single" w:color="auto" w:sz="4" w:space="0"/>
            </w:tcBorders>
            <w:shd w:val="clear" w:color="auto" w:fill="auto"/>
            <w:noWrap/>
            <w:vAlign w:val="bottom"/>
          </w:tcPr>
          <w:p w14:paraId="3C9084A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DF487E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56B7C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6711 Prihodi iz nadležnog proračuna za financiranje rashoda poslovanja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2D5CA7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63.687,56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EC57B1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9101A5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129.173,32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9D0490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202,82%</w:t>
            </w:r>
          </w:p>
        </w:tc>
        <w:tc>
          <w:tcPr>
            <w:tcW w:w="1173" w:type="dxa"/>
            <w:tcBorders>
              <w:top w:val="nil"/>
              <w:left w:val="nil"/>
              <w:bottom w:val="single" w:color="auto" w:sz="4" w:space="0"/>
              <w:right w:val="single" w:color="auto" w:sz="4" w:space="0"/>
            </w:tcBorders>
            <w:shd w:val="clear" w:color="auto" w:fill="auto"/>
            <w:noWrap/>
            <w:vAlign w:val="bottom"/>
          </w:tcPr>
          <w:p w14:paraId="168EC3A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F28ADC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0F7A0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 Prihodi od prodaje nefinancijske imovine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1C8F37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796,34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530504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983A06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9ADAAF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7684C93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65C4E72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6A09BD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72 Prihodi od prodaje proizvedene dugotrajne imovine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A8859E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796,34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BEEE7D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740D78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D9A421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41E7697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0AFE420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E4612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722 Prihodi od prodaje postrojenja i opreme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D6F6EB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796,34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6F7CEC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BC58AA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4641B8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1F7FF59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089143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37F70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7223 Oprema za održavanje i zaštitu</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90BFA3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796,34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B8AFEC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E5DCAC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F37FE4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7223553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D003292">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DA72B4">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 Rashodi poslovanja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86F379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1.328.828,01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DB53BC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2.250.712,29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CC4296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2.118.418,58</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C7506B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159,42%</w:t>
            </w:r>
          </w:p>
        </w:tc>
        <w:tc>
          <w:tcPr>
            <w:tcW w:w="1173" w:type="dxa"/>
            <w:tcBorders>
              <w:top w:val="nil"/>
              <w:left w:val="nil"/>
              <w:bottom w:val="single" w:color="auto" w:sz="4" w:space="0"/>
              <w:right w:val="single" w:color="auto" w:sz="4" w:space="0"/>
            </w:tcBorders>
            <w:shd w:val="clear" w:color="auto" w:fill="auto"/>
            <w:noWrap/>
            <w:vAlign w:val="bottom"/>
          </w:tcPr>
          <w:p w14:paraId="308EAFE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94,12%</w:t>
            </w:r>
          </w:p>
        </w:tc>
      </w:tr>
      <w:tr w14:paraId="18B93F8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A1079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31 Rashodi za zaposlene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BAC41A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1.114.166,48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A60A1A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1.760.479,94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8265DA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1.685.158,91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2E3D5A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151,25%</w:t>
            </w:r>
          </w:p>
        </w:tc>
        <w:tc>
          <w:tcPr>
            <w:tcW w:w="1173" w:type="dxa"/>
            <w:tcBorders>
              <w:top w:val="nil"/>
              <w:left w:val="nil"/>
              <w:bottom w:val="single" w:color="auto" w:sz="4" w:space="0"/>
              <w:right w:val="single" w:color="auto" w:sz="4" w:space="0"/>
            </w:tcBorders>
            <w:shd w:val="clear" w:color="auto" w:fill="auto"/>
            <w:noWrap/>
            <w:vAlign w:val="bottom"/>
          </w:tcPr>
          <w:p w14:paraId="6987C5B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95,72%</w:t>
            </w:r>
          </w:p>
        </w:tc>
      </w:tr>
      <w:tr w14:paraId="6D4870D2">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C7A29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311 Plaće (Bruto)</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6B4842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917.642,26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63F4A3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51050E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1.417.224,86</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DFD0EE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154,44%</w:t>
            </w:r>
          </w:p>
        </w:tc>
        <w:tc>
          <w:tcPr>
            <w:tcW w:w="1173" w:type="dxa"/>
            <w:tcBorders>
              <w:top w:val="nil"/>
              <w:left w:val="nil"/>
              <w:bottom w:val="single" w:color="auto" w:sz="4" w:space="0"/>
              <w:right w:val="single" w:color="auto" w:sz="4" w:space="0"/>
            </w:tcBorders>
            <w:shd w:val="clear" w:color="auto" w:fill="auto"/>
            <w:noWrap/>
            <w:vAlign w:val="bottom"/>
          </w:tcPr>
          <w:p w14:paraId="403285E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0F8590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1D0A1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3111 Plaće za redovan rad</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818300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917.642,26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2F74E1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47AAD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1.417.224,86</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163CFF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154,44%</w:t>
            </w:r>
          </w:p>
        </w:tc>
        <w:tc>
          <w:tcPr>
            <w:tcW w:w="1173" w:type="dxa"/>
            <w:tcBorders>
              <w:top w:val="nil"/>
              <w:left w:val="nil"/>
              <w:bottom w:val="single" w:color="auto" w:sz="4" w:space="0"/>
              <w:right w:val="single" w:color="auto" w:sz="4" w:space="0"/>
            </w:tcBorders>
            <w:shd w:val="clear" w:color="auto" w:fill="auto"/>
            <w:noWrap/>
            <w:vAlign w:val="bottom"/>
          </w:tcPr>
          <w:p w14:paraId="7D2DCC0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1181796">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7CDFA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312 Ostali rashodi za zaposlene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B9BD4C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55.467,89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43F372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833B10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52.331,69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21C306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94,35%</w:t>
            </w:r>
          </w:p>
        </w:tc>
        <w:tc>
          <w:tcPr>
            <w:tcW w:w="1173" w:type="dxa"/>
            <w:tcBorders>
              <w:top w:val="nil"/>
              <w:left w:val="nil"/>
              <w:bottom w:val="single" w:color="auto" w:sz="4" w:space="0"/>
              <w:right w:val="single" w:color="auto" w:sz="4" w:space="0"/>
            </w:tcBorders>
            <w:shd w:val="clear" w:color="auto" w:fill="auto"/>
            <w:noWrap/>
            <w:vAlign w:val="bottom"/>
          </w:tcPr>
          <w:p w14:paraId="6E7A338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67E1C0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44DC96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3121 Ostali rashodi za zaposlene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734748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55.467,89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267E9B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77DD69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52.331,69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19D3E4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94,35%</w:t>
            </w:r>
          </w:p>
        </w:tc>
        <w:tc>
          <w:tcPr>
            <w:tcW w:w="1173" w:type="dxa"/>
            <w:tcBorders>
              <w:top w:val="nil"/>
              <w:left w:val="nil"/>
              <w:bottom w:val="single" w:color="auto" w:sz="4" w:space="0"/>
              <w:right w:val="single" w:color="auto" w:sz="4" w:space="0"/>
            </w:tcBorders>
            <w:shd w:val="clear" w:color="auto" w:fill="auto"/>
            <w:noWrap/>
            <w:vAlign w:val="bottom"/>
          </w:tcPr>
          <w:p w14:paraId="486B468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1C856C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F06616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 Doprinosi na plaće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2D4A2D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141.056,33</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277B87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5ECAD6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215.602,36</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3C64D0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152,85%</w:t>
            </w:r>
          </w:p>
        </w:tc>
        <w:tc>
          <w:tcPr>
            <w:tcW w:w="1173" w:type="dxa"/>
            <w:tcBorders>
              <w:top w:val="nil"/>
              <w:left w:val="nil"/>
              <w:bottom w:val="single" w:color="auto" w:sz="4" w:space="0"/>
              <w:right w:val="single" w:color="auto" w:sz="4" w:space="0"/>
            </w:tcBorders>
            <w:shd w:val="clear" w:color="auto" w:fill="auto"/>
            <w:noWrap/>
            <w:vAlign w:val="bottom"/>
          </w:tcPr>
          <w:p w14:paraId="6984AC0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641AA3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B58F5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3132 Doprinosi za obvezno zdravstveno osiguranje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94808C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141.056,33</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B85281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E5FA88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215.602,36</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6D07F3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152,85%</w:t>
            </w:r>
          </w:p>
        </w:tc>
        <w:tc>
          <w:tcPr>
            <w:tcW w:w="1173" w:type="dxa"/>
            <w:tcBorders>
              <w:top w:val="nil"/>
              <w:left w:val="nil"/>
              <w:bottom w:val="single" w:color="auto" w:sz="4" w:space="0"/>
              <w:right w:val="single" w:color="auto" w:sz="4" w:space="0"/>
            </w:tcBorders>
            <w:shd w:val="clear" w:color="auto" w:fill="auto"/>
            <w:noWrap/>
            <w:vAlign w:val="bottom"/>
          </w:tcPr>
          <w:p w14:paraId="77ADEBF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5DFA3C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2C9B70">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 Materijalni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A53D0C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184.487,69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C7D723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459.641,35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394270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404.132,58</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5AA69C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219,06%</w:t>
            </w:r>
          </w:p>
        </w:tc>
        <w:tc>
          <w:tcPr>
            <w:tcW w:w="1173" w:type="dxa"/>
            <w:tcBorders>
              <w:top w:val="nil"/>
              <w:left w:val="nil"/>
              <w:bottom w:val="single" w:color="auto" w:sz="4" w:space="0"/>
              <w:right w:val="single" w:color="auto" w:sz="4" w:space="0"/>
            </w:tcBorders>
            <w:shd w:val="clear" w:color="auto" w:fill="auto"/>
            <w:noWrap/>
            <w:vAlign w:val="bottom"/>
          </w:tcPr>
          <w:p w14:paraId="15A995A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87,92%</w:t>
            </w:r>
          </w:p>
        </w:tc>
      </w:tr>
      <w:tr w14:paraId="70538282">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9BD1C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 Naknade troškova zaposlenima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7CBA51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40.036,35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A8A6A5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B1E111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52.263,35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B81E9B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130,54%</w:t>
            </w:r>
          </w:p>
        </w:tc>
        <w:tc>
          <w:tcPr>
            <w:tcW w:w="1173" w:type="dxa"/>
            <w:tcBorders>
              <w:top w:val="nil"/>
              <w:left w:val="nil"/>
              <w:bottom w:val="single" w:color="auto" w:sz="4" w:space="0"/>
              <w:right w:val="single" w:color="auto" w:sz="4" w:space="0"/>
            </w:tcBorders>
            <w:shd w:val="clear" w:color="auto" w:fill="auto"/>
            <w:noWrap/>
            <w:vAlign w:val="bottom"/>
          </w:tcPr>
          <w:p w14:paraId="51EF9C7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CA2E2A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C2B54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3211 Službena putovanja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EB14EF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2.087,40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32F425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710803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8.377,54</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F1450F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401,34%</w:t>
            </w:r>
          </w:p>
        </w:tc>
        <w:tc>
          <w:tcPr>
            <w:tcW w:w="1173" w:type="dxa"/>
            <w:tcBorders>
              <w:top w:val="nil"/>
              <w:left w:val="nil"/>
              <w:bottom w:val="single" w:color="auto" w:sz="4" w:space="0"/>
              <w:right w:val="single" w:color="auto" w:sz="4" w:space="0"/>
            </w:tcBorders>
            <w:shd w:val="clear" w:color="auto" w:fill="auto"/>
            <w:noWrap/>
            <w:vAlign w:val="bottom"/>
          </w:tcPr>
          <w:p w14:paraId="7973056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7113E0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DE47A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3212 Naknade za prijevoz, za rad na terenu i odvojeni život</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D70D9B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37.511,95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D5C425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76960F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43.122,41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0BAA6E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114,96%</w:t>
            </w:r>
          </w:p>
        </w:tc>
        <w:tc>
          <w:tcPr>
            <w:tcW w:w="1173" w:type="dxa"/>
            <w:tcBorders>
              <w:top w:val="nil"/>
              <w:left w:val="nil"/>
              <w:bottom w:val="single" w:color="auto" w:sz="4" w:space="0"/>
              <w:right w:val="single" w:color="auto" w:sz="4" w:space="0"/>
            </w:tcBorders>
            <w:shd w:val="clear" w:color="auto" w:fill="auto"/>
            <w:noWrap/>
            <w:vAlign w:val="bottom"/>
          </w:tcPr>
          <w:p w14:paraId="73A188F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0DE958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B8596F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3213 Stručno usavršavanje zaposlenika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EFC73D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437,00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5F3F1B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A8CDCB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763,40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8FB124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174,69%</w:t>
            </w:r>
          </w:p>
        </w:tc>
        <w:tc>
          <w:tcPr>
            <w:tcW w:w="1173" w:type="dxa"/>
            <w:tcBorders>
              <w:top w:val="nil"/>
              <w:left w:val="nil"/>
              <w:bottom w:val="single" w:color="auto" w:sz="4" w:space="0"/>
              <w:right w:val="single" w:color="auto" w:sz="4" w:space="0"/>
            </w:tcBorders>
            <w:shd w:val="clear" w:color="auto" w:fill="auto"/>
            <w:noWrap/>
            <w:vAlign w:val="bottom"/>
          </w:tcPr>
          <w:p w14:paraId="32F9B69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7BF433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1BFBC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 Rashodi za materijal i energiju</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A967B3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120.576,09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A021E8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E5B408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203.785,25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DC70FB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169,01%</w:t>
            </w:r>
          </w:p>
        </w:tc>
        <w:tc>
          <w:tcPr>
            <w:tcW w:w="1173" w:type="dxa"/>
            <w:tcBorders>
              <w:top w:val="nil"/>
              <w:left w:val="nil"/>
              <w:bottom w:val="single" w:color="auto" w:sz="4" w:space="0"/>
              <w:right w:val="single" w:color="auto" w:sz="4" w:space="0"/>
            </w:tcBorders>
            <w:shd w:val="clear" w:color="auto" w:fill="auto"/>
            <w:noWrap/>
            <w:vAlign w:val="bottom"/>
          </w:tcPr>
          <w:p w14:paraId="48B30B2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A94BC3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8348D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3221 Uredski materijal i ostali materijalni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A8F07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8.473,57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C24479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6DB23C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40.868,60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FF769E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482,31%</w:t>
            </w:r>
          </w:p>
        </w:tc>
        <w:tc>
          <w:tcPr>
            <w:tcW w:w="1173" w:type="dxa"/>
            <w:tcBorders>
              <w:top w:val="nil"/>
              <w:left w:val="nil"/>
              <w:bottom w:val="single" w:color="auto" w:sz="4" w:space="0"/>
              <w:right w:val="single" w:color="auto" w:sz="4" w:space="0"/>
            </w:tcBorders>
            <w:shd w:val="clear" w:color="auto" w:fill="auto"/>
            <w:noWrap/>
            <w:vAlign w:val="bottom"/>
          </w:tcPr>
          <w:p w14:paraId="71A74F2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9E4C5F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05B8E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3222 Materijal i sirovine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194AE0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68.268,85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FE5DAB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003E4C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90.009,12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06CD21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131,85%</w:t>
            </w:r>
          </w:p>
        </w:tc>
        <w:tc>
          <w:tcPr>
            <w:tcW w:w="1173" w:type="dxa"/>
            <w:tcBorders>
              <w:top w:val="nil"/>
              <w:left w:val="nil"/>
              <w:bottom w:val="single" w:color="auto" w:sz="4" w:space="0"/>
              <w:right w:val="single" w:color="auto" w:sz="4" w:space="0"/>
            </w:tcBorders>
            <w:shd w:val="clear" w:color="auto" w:fill="auto"/>
            <w:noWrap/>
            <w:vAlign w:val="bottom"/>
          </w:tcPr>
          <w:p w14:paraId="79C51C8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1C5544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8B0A2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3223 Energija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911D60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37.876,44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C4BE22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630647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35.090,71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98BD33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92,65%</w:t>
            </w:r>
          </w:p>
        </w:tc>
        <w:tc>
          <w:tcPr>
            <w:tcW w:w="1173" w:type="dxa"/>
            <w:tcBorders>
              <w:top w:val="nil"/>
              <w:left w:val="nil"/>
              <w:bottom w:val="single" w:color="auto" w:sz="4" w:space="0"/>
              <w:right w:val="single" w:color="auto" w:sz="4" w:space="0"/>
            </w:tcBorders>
            <w:shd w:val="clear" w:color="auto" w:fill="auto"/>
            <w:noWrap/>
            <w:vAlign w:val="bottom"/>
          </w:tcPr>
          <w:p w14:paraId="2432F3F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1406528">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3EAE3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3224 Materijal i dijelovi za tekuće i investicijsko održavanje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1AF257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3.412,01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73D0EC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C6C221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2.125,53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B64784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62,30%</w:t>
            </w:r>
          </w:p>
        </w:tc>
        <w:tc>
          <w:tcPr>
            <w:tcW w:w="1173" w:type="dxa"/>
            <w:tcBorders>
              <w:top w:val="nil"/>
              <w:left w:val="nil"/>
              <w:bottom w:val="single" w:color="auto" w:sz="4" w:space="0"/>
              <w:right w:val="single" w:color="auto" w:sz="4" w:space="0"/>
            </w:tcBorders>
            <w:shd w:val="clear" w:color="auto" w:fill="auto"/>
            <w:noWrap/>
            <w:vAlign w:val="bottom"/>
          </w:tcPr>
          <w:p w14:paraId="68668D1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F468BD0">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757E4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3225 Sitni inventar i auto gume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C7A665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2.545,22</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EB453A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6F9C47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35.153,50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6F22BA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1381,16%</w:t>
            </w:r>
          </w:p>
        </w:tc>
        <w:tc>
          <w:tcPr>
            <w:tcW w:w="1173" w:type="dxa"/>
            <w:tcBorders>
              <w:top w:val="nil"/>
              <w:left w:val="nil"/>
              <w:bottom w:val="single" w:color="auto" w:sz="4" w:space="0"/>
              <w:right w:val="single" w:color="auto" w:sz="4" w:space="0"/>
            </w:tcBorders>
            <w:shd w:val="clear" w:color="auto" w:fill="auto"/>
            <w:noWrap/>
            <w:vAlign w:val="bottom"/>
          </w:tcPr>
          <w:p w14:paraId="438137C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9625C66">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6E8A5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3227 Službena, radna i zaštitna odjeća i obuća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BBD4AE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7EE3A1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93809A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537,79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5D64E0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497BB1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D39ADDF">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7F7FF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 Rashodi za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F5DB29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16.345,84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8997F6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3BA95B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84.952,04</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80EB03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519,72%</w:t>
            </w:r>
          </w:p>
        </w:tc>
        <w:tc>
          <w:tcPr>
            <w:tcW w:w="1173" w:type="dxa"/>
            <w:tcBorders>
              <w:top w:val="nil"/>
              <w:left w:val="nil"/>
              <w:bottom w:val="single" w:color="auto" w:sz="4" w:space="0"/>
              <w:right w:val="single" w:color="auto" w:sz="4" w:space="0"/>
            </w:tcBorders>
            <w:shd w:val="clear" w:color="auto" w:fill="auto"/>
            <w:noWrap/>
            <w:vAlign w:val="bottom"/>
          </w:tcPr>
          <w:p w14:paraId="768B68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B17229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D025A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3231 Usluge telefona, pošte i prijevoza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440F86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1.532,88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B86F3A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33EB5F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2.777,33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7D6E20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181,18%</w:t>
            </w:r>
          </w:p>
        </w:tc>
        <w:tc>
          <w:tcPr>
            <w:tcW w:w="1173" w:type="dxa"/>
            <w:tcBorders>
              <w:top w:val="nil"/>
              <w:left w:val="nil"/>
              <w:bottom w:val="single" w:color="auto" w:sz="4" w:space="0"/>
              <w:right w:val="single" w:color="auto" w:sz="4" w:space="0"/>
            </w:tcBorders>
            <w:shd w:val="clear" w:color="auto" w:fill="auto"/>
            <w:noWrap/>
            <w:vAlign w:val="bottom"/>
          </w:tcPr>
          <w:p w14:paraId="69AADE1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C1DECD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97264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3232 Usluge tekućeg i investicijskog održavanja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EA4D58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5.358,34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49F699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2A19FE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68.529,63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D7FBAD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1278,93%</w:t>
            </w:r>
          </w:p>
        </w:tc>
        <w:tc>
          <w:tcPr>
            <w:tcW w:w="1173" w:type="dxa"/>
            <w:tcBorders>
              <w:top w:val="nil"/>
              <w:left w:val="nil"/>
              <w:bottom w:val="single" w:color="auto" w:sz="4" w:space="0"/>
              <w:right w:val="single" w:color="auto" w:sz="4" w:space="0"/>
            </w:tcBorders>
            <w:shd w:val="clear" w:color="auto" w:fill="auto"/>
            <w:noWrap/>
            <w:vAlign w:val="bottom"/>
          </w:tcPr>
          <w:p w14:paraId="783032E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F24E812">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139FA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3233 Usluge promidžbe i informiranja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2E01E9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B02295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CF81DE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800,00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5A0356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7E2EA96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901B18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E7E1D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3234 Komunalne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BD0C7A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3.137,59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3875E5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B3B8DF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3.984,05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6C3274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126,98%</w:t>
            </w:r>
          </w:p>
        </w:tc>
        <w:tc>
          <w:tcPr>
            <w:tcW w:w="1173" w:type="dxa"/>
            <w:tcBorders>
              <w:top w:val="nil"/>
              <w:left w:val="nil"/>
              <w:bottom w:val="single" w:color="auto" w:sz="4" w:space="0"/>
              <w:right w:val="single" w:color="auto" w:sz="4" w:space="0"/>
            </w:tcBorders>
            <w:shd w:val="clear" w:color="auto" w:fill="auto"/>
            <w:noWrap/>
            <w:vAlign w:val="bottom"/>
          </w:tcPr>
          <w:p w14:paraId="17C7D9F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796F38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041E8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3236 Zdravstvene i veterinarske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613C10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2.066,93</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EE1659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8041A3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3.127,81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06F11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151,33%</w:t>
            </w:r>
          </w:p>
        </w:tc>
        <w:tc>
          <w:tcPr>
            <w:tcW w:w="1173" w:type="dxa"/>
            <w:tcBorders>
              <w:top w:val="nil"/>
              <w:left w:val="nil"/>
              <w:bottom w:val="single" w:color="auto" w:sz="4" w:space="0"/>
              <w:right w:val="single" w:color="auto" w:sz="4" w:space="0"/>
            </w:tcBorders>
            <w:shd w:val="clear" w:color="auto" w:fill="auto"/>
            <w:noWrap/>
            <w:vAlign w:val="bottom"/>
          </w:tcPr>
          <w:p w14:paraId="5004149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F51F6C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09092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3237 Intelektualne i osobne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6B14D8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863,65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AF8E40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950B72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557,00</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88F78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64,49%</w:t>
            </w:r>
          </w:p>
        </w:tc>
        <w:tc>
          <w:tcPr>
            <w:tcW w:w="1173" w:type="dxa"/>
            <w:tcBorders>
              <w:top w:val="nil"/>
              <w:left w:val="nil"/>
              <w:bottom w:val="single" w:color="auto" w:sz="4" w:space="0"/>
              <w:right w:val="single" w:color="auto" w:sz="4" w:space="0"/>
            </w:tcBorders>
            <w:shd w:val="clear" w:color="auto" w:fill="auto"/>
            <w:noWrap/>
            <w:vAlign w:val="bottom"/>
          </w:tcPr>
          <w:p w14:paraId="031B748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4DD0C0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75B9D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3238 Računalne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D6753C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3.053,30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0050D7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CE2A63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4.639,97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E0E410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151,97%</w:t>
            </w:r>
          </w:p>
        </w:tc>
        <w:tc>
          <w:tcPr>
            <w:tcW w:w="1173" w:type="dxa"/>
            <w:tcBorders>
              <w:top w:val="nil"/>
              <w:left w:val="nil"/>
              <w:bottom w:val="single" w:color="auto" w:sz="4" w:space="0"/>
              <w:right w:val="single" w:color="auto" w:sz="4" w:space="0"/>
            </w:tcBorders>
            <w:shd w:val="clear" w:color="auto" w:fill="auto"/>
            <w:noWrap/>
            <w:vAlign w:val="bottom"/>
          </w:tcPr>
          <w:p w14:paraId="43E0745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B6DF577">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23F04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3239 Ostale usluge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0C62F1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333,15</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E0A121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3661E0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536,25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F99F82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160,96%</w:t>
            </w:r>
          </w:p>
        </w:tc>
        <w:tc>
          <w:tcPr>
            <w:tcW w:w="1173" w:type="dxa"/>
            <w:tcBorders>
              <w:top w:val="nil"/>
              <w:left w:val="nil"/>
              <w:bottom w:val="single" w:color="auto" w:sz="4" w:space="0"/>
              <w:right w:val="single" w:color="auto" w:sz="4" w:space="0"/>
            </w:tcBorders>
            <w:shd w:val="clear" w:color="auto" w:fill="auto"/>
            <w:noWrap/>
            <w:vAlign w:val="bottom"/>
          </w:tcPr>
          <w:p w14:paraId="60D30B8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0D6EE92">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6E8B4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 Ostali nespomenuti rashodi poslovanja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FE213B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7.529,41</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F1AFCB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95CE88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63.131,94</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C51F8F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838,47%</w:t>
            </w:r>
          </w:p>
        </w:tc>
        <w:tc>
          <w:tcPr>
            <w:tcW w:w="1173" w:type="dxa"/>
            <w:tcBorders>
              <w:top w:val="nil"/>
              <w:left w:val="nil"/>
              <w:bottom w:val="single" w:color="auto" w:sz="4" w:space="0"/>
              <w:right w:val="single" w:color="auto" w:sz="4" w:space="0"/>
            </w:tcBorders>
            <w:shd w:val="clear" w:color="auto" w:fill="auto"/>
            <w:noWrap/>
            <w:vAlign w:val="bottom"/>
          </w:tcPr>
          <w:p w14:paraId="5FC8AE6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FA88140">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08B326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3292 Premije osiguranja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71876D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170,68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093505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E7E3C0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367,89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BD290C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215,54%</w:t>
            </w:r>
          </w:p>
        </w:tc>
        <w:tc>
          <w:tcPr>
            <w:tcW w:w="1173" w:type="dxa"/>
            <w:tcBorders>
              <w:top w:val="nil"/>
              <w:left w:val="nil"/>
              <w:bottom w:val="single" w:color="auto" w:sz="4" w:space="0"/>
              <w:right w:val="single" w:color="auto" w:sz="4" w:space="0"/>
            </w:tcBorders>
            <w:shd w:val="clear" w:color="auto" w:fill="auto"/>
            <w:noWrap/>
            <w:vAlign w:val="bottom"/>
          </w:tcPr>
          <w:p w14:paraId="5808AB8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AD9D44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736B1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3293 Reprezentacija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CE007F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99EEB9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0C1F88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1.992,19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C67E44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58AD491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951EEA7">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B1178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3294 Članarine i norme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1E0ACA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176,36</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34C39E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E55B4A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188,09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9000F7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106,65%</w:t>
            </w:r>
          </w:p>
        </w:tc>
        <w:tc>
          <w:tcPr>
            <w:tcW w:w="1173" w:type="dxa"/>
            <w:tcBorders>
              <w:top w:val="nil"/>
              <w:left w:val="nil"/>
              <w:bottom w:val="single" w:color="auto" w:sz="4" w:space="0"/>
              <w:right w:val="single" w:color="auto" w:sz="4" w:space="0"/>
            </w:tcBorders>
            <w:shd w:val="clear" w:color="auto" w:fill="auto"/>
            <w:noWrap/>
            <w:vAlign w:val="bottom"/>
          </w:tcPr>
          <w:p w14:paraId="725DF37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9CABA3C">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3D4F0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3295 Pristojbe i naknade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60D17D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1.642,98</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F58160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151E79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1.221,71</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E2EEFB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74,36%</w:t>
            </w:r>
          </w:p>
        </w:tc>
        <w:tc>
          <w:tcPr>
            <w:tcW w:w="1173" w:type="dxa"/>
            <w:tcBorders>
              <w:top w:val="nil"/>
              <w:left w:val="nil"/>
              <w:bottom w:val="single" w:color="auto" w:sz="4" w:space="0"/>
              <w:right w:val="single" w:color="auto" w:sz="4" w:space="0"/>
            </w:tcBorders>
            <w:shd w:val="clear" w:color="auto" w:fill="auto"/>
            <w:noWrap/>
            <w:vAlign w:val="bottom"/>
          </w:tcPr>
          <w:p w14:paraId="59AF011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F195A2F">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575D9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3299 Ostali nespomenuti rashodi poslovanja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FAD98B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5.539,39</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1C83C7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9C4332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59.362,06</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6EAAF7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1071,64%</w:t>
            </w:r>
          </w:p>
        </w:tc>
        <w:tc>
          <w:tcPr>
            <w:tcW w:w="1173" w:type="dxa"/>
            <w:tcBorders>
              <w:top w:val="nil"/>
              <w:left w:val="nil"/>
              <w:bottom w:val="single" w:color="auto" w:sz="4" w:space="0"/>
              <w:right w:val="single" w:color="auto" w:sz="4" w:space="0"/>
            </w:tcBorders>
            <w:shd w:val="clear" w:color="auto" w:fill="auto"/>
            <w:noWrap/>
            <w:vAlign w:val="bottom"/>
          </w:tcPr>
          <w:p w14:paraId="545940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309E1CD">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A5B45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34 Financijski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2050DD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83,84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6F15BA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4551DD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0,99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06749C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1,18%</w:t>
            </w:r>
          </w:p>
        </w:tc>
        <w:tc>
          <w:tcPr>
            <w:tcW w:w="1173" w:type="dxa"/>
            <w:tcBorders>
              <w:top w:val="nil"/>
              <w:left w:val="nil"/>
              <w:bottom w:val="single" w:color="auto" w:sz="4" w:space="0"/>
              <w:right w:val="single" w:color="auto" w:sz="4" w:space="0"/>
            </w:tcBorders>
            <w:shd w:val="clear" w:color="auto" w:fill="auto"/>
            <w:noWrap/>
            <w:vAlign w:val="bottom"/>
          </w:tcPr>
          <w:p w14:paraId="758539D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24,75%</w:t>
            </w:r>
          </w:p>
        </w:tc>
      </w:tr>
      <w:tr w14:paraId="39A22CE4">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283B8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 Ostali financijski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B80A3E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83,84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11BAFB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E30525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0,99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ED4F96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1,18%</w:t>
            </w:r>
          </w:p>
        </w:tc>
        <w:tc>
          <w:tcPr>
            <w:tcW w:w="1173" w:type="dxa"/>
            <w:tcBorders>
              <w:top w:val="nil"/>
              <w:left w:val="nil"/>
              <w:bottom w:val="single" w:color="auto" w:sz="4" w:space="0"/>
              <w:right w:val="single" w:color="auto" w:sz="4" w:space="0"/>
            </w:tcBorders>
            <w:shd w:val="clear" w:color="auto" w:fill="auto"/>
            <w:noWrap/>
            <w:vAlign w:val="bottom"/>
          </w:tcPr>
          <w:p w14:paraId="6B6FC33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3C4FD34">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DA0FAF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3433 Zatezne kamate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3C8FB9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069E27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921078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0,02</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32AB74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68C54A6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6F3CA5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32AA4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3434 Ostali nespomenuti financijski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DBB3F5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83,84</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3797C0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698758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0,97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1E0C8F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1,16%</w:t>
            </w:r>
          </w:p>
        </w:tc>
        <w:tc>
          <w:tcPr>
            <w:tcW w:w="1173" w:type="dxa"/>
            <w:tcBorders>
              <w:top w:val="nil"/>
              <w:left w:val="nil"/>
              <w:bottom w:val="single" w:color="auto" w:sz="4" w:space="0"/>
              <w:right w:val="single" w:color="auto" w:sz="4" w:space="0"/>
            </w:tcBorders>
            <w:shd w:val="clear" w:color="auto" w:fill="auto"/>
            <w:noWrap/>
            <w:vAlign w:val="bottom"/>
          </w:tcPr>
          <w:p w14:paraId="178A127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9C7FF8F">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A6DE7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37 Naknade građanima i kućanstvima na temelju osiguranja i druge naknade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29B0B00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29.548,00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A5CE21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30.000,00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85B64E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28.540,07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539C66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96,59%</w:t>
            </w:r>
          </w:p>
        </w:tc>
        <w:tc>
          <w:tcPr>
            <w:tcW w:w="1173" w:type="dxa"/>
            <w:tcBorders>
              <w:top w:val="nil"/>
              <w:left w:val="nil"/>
              <w:bottom w:val="single" w:color="auto" w:sz="4" w:space="0"/>
              <w:right w:val="single" w:color="auto" w:sz="4" w:space="0"/>
            </w:tcBorders>
            <w:shd w:val="clear" w:color="auto" w:fill="auto"/>
            <w:noWrap/>
            <w:vAlign w:val="bottom"/>
          </w:tcPr>
          <w:p w14:paraId="547D663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95,13%</w:t>
            </w:r>
          </w:p>
        </w:tc>
      </w:tr>
      <w:tr w14:paraId="05297211">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A4032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372 Ostale naknade građanima i kućanstvima iz proračuna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7194F0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29.548,00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0F975F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D2E737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28.540,07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A0FAE9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96,59%</w:t>
            </w:r>
          </w:p>
        </w:tc>
        <w:tc>
          <w:tcPr>
            <w:tcW w:w="1173" w:type="dxa"/>
            <w:tcBorders>
              <w:top w:val="nil"/>
              <w:left w:val="nil"/>
              <w:bottom w:val="single" w:color="auto" w:sz="4" w:space="0"/>
              <w:right w:val="single" w:color="auto" w:sz="4" w:space="0"/>
            </w:tcBorders>
            <w:shd w:val="clear" w:color="auto" w:fill="auto"/>
            <w:noWrap/>
            <w:vAlign w:val="bottom"/>
          </w:tcPr>
          <w:p w14:paraId="76AA7A7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C0D3213">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099E4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3722 Naknade građanima i kućanstvima u naravi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60950F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29.548,00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E752C9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03D650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28.540,07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0E5A20F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96,59%</w:t>
            </w:r>
          </w:p>
        </w:tc>
        <w:tc>
          <w:tcPr>
            <w:tcW w:w="1173" w:type="dxa"/>
            <w:tcBorders>
              <w:top w:val="nil"/>
              <w:left w:val="nil"/>
              <w:bottom w:val="single" w:color="auto" w:sz="4" w:space="0"/>
              <w:right w:val="single" w:color="auto" w:sz="4" w:space="0"/>
            </w:tcBorders>
            <w:shd w:val="clear" w:color="auto" w:fill="auto"/>
            <w:noWrap/>
            <w:vAlign w:val="bottom"/>
          </w:tcPr>
          <w:p w14:paraId="32AEEED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91A524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46F4C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38 Ostali rashodi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A29ED2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542,00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57CEAF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587,00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44E8C6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586,03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46D055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108,12%</w:t>
            </w:r>
          </w:p>
        </w:tc>
        <w:tc>
          <w:tcPr>
            <w:tcW w:w="1173" w:type="dxa"/>
            <w:tcBorders>
              <w:top w:val="nil"/>
              <w:left w:val="nil"/>
              <w:bottom w:val="single" w:color="auto" w:sz="4" w:space="0"/>
              <w:right w:val="single" w:color="auto" w:sz="4" w:space="0"/>
            </w:tcBorders>
            <w:shd w:val="clear" w:color="auto" w:fill="auto"/>
            <w:noWrap/>
            <w:vAlign w:val="bottom"/>
          </w:tcPr>
          <w:p w14:paraId="45729DB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99,83%</w:t>
            </w:r>
          </w:p>
        </w:tc>
      </w:tr>
      <w:tr w14:paraId="171C7361">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D30F8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381 Tekuće donacije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906E46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542,00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187494F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B8389E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586,03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104DD89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108,12%</w:t>
            </w:r>
          </w:p>
        </w:tc>
        <w:tc>
          <w:tcPr>
            <w:tcW w:w="1173" w:type="dxa"/>
            <w:tcBorders>
              <w:top w:val="nil"/>
              <w:left w:val="nil"/>
              <w:bottom w:val="single" w:color="auto" w:sz="4" w:space="0"/>
              <w:right w:val="single" w:color="auto" w:sz="4" w:space="0"/>
            </w:tcBorders>
            <w:shd w:val="clear" w:color="auto" w:fill="auto"/>
            <w:noWrap/>
            <w:vAlign w:val="bottom"/>
          </w:tcPr>
          <w:p w14:paraId="157A7D0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49897FB">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831C4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3812 Tekuće donacije u naravi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5E12AB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542,00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5A313EB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E3F08C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586,03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33FC90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108,12%</w:t>
            </w:r>
          </w:p>
        </w:tc>
        <w:tc>
          <w:tcPr>
            <w:tcW w:w="1173" w:type="dxa"/>
            <w:tcBorders>
              <w:top w:val="nil"/>
              <w:left w:val="nil"/>
              <w:bottom w:val="single" w:color="auto" w:sz="4" w:space="0"/>
              <w:right w:val="single" w:color="auto" w:sz="4" w:space="0"/>
            </w:tcBorders>
            <w:shd w:val="clear" w:color="auto" w:fill="auto"/>
            <w:noWrap/>
            <w:vAlign w:val="bottom"/>
          </w:tcPr>
          <w:p w14:paraId="010EECA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EEF2EF9">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D0B5A90">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 Rashodi za nabavu nefinancijske imovine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179E3E9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22.991,20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CD4C53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62.000,00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99F4B1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51.068,09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F1179D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222,12%</w:t>
            </w:r>
          </w:p>
        </w:tc>
        <w:tc>
          <w:tcPr>
            <w:tcW w:w="1173" w:type="dxa"/>
            <w:tcBorders>
              <w:top w:val="nil"/>
              <w:left w:val="nil"/>
              <w:bottom w:val="single" w:color="auto" w:sz="4" w:space="0"/>
              <w:right w:val="single" w:color="auto" w:sz="4" w:space="0"/>
            </w:tcBorders>
            <w:shd w:val="clear" w:color="auto" w:fill="auto"/>
            <w:noWrap/>
            <w:vAlign w:val="bottom"/>
          </w:tcPr>
          <w:p w14:paraId="0C7C12F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82,37%</w:t>
            </w:r>
          </w:p>
        </w:tc>
      </w:tr>
      <w:tr w14:paraId="2B2E5EF0">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E9B94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42 Rashodi za nabavu proizvedene dugotrajne imovine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0974F8A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22.991,20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6774438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62.000,00</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24EC37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51.068,09</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52ACB17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222,12%</w:t>
            </w:r>
          </w:p>
        </w:tc>
        <w:tc>
          <w:tcPr>
            <w:tcW w:w="1173" w:type="dxa"/>
            <w:tcBorders>
              <w:top w:val="nil"/>
              <w:left w:val="nil"/>
              <w:bottom w:val="single" w:color="auto" w:sz="4" w:space="0"/>
              <w:right w:val="single" w:color="auto" w:sz="4" w:space="0"/>
            </w:tcBorders>
            <w:shd w:val="clear" w:color="auto" w:fill="auto"/>
            <w:noWrap/>
            <w:vAlign w:val="bottom"/>
          </w:tcPr>
          <w:p w14:paraId="4622414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82,37%</w:t>
            </w:r>
          </w:p>
        </w:tc>
      </w:tr>
      <w:tr w14:paraId="37EE9686">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CFCEE7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 Postrojenja i oprema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7E55E7F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2.347,43</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0B084D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EE4CFB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20.876,24</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3B00C43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889,32%</w:t>
            </w:r>
          </w:p>
        </w:tc>
        <w:tc>
          <w:tcPr>
            <w:tcW w:w="1173" w:type="dxa"/>
            <w:tcBorders>
              <w:top w:val="nil"/>
              <w:left w:val="nil"/>
              <w:bottom w:val="single" w:color="auto" w:sz="4" w:space="0"/>
              <w:right w:val="single" w:color="auto" w:sz="4" w:space="0"/>
            </w:tcBorders>
            <w:shd w:val="clear" w:color="auto" w:fill="auto"/>
            <w:noWrap/>
            <w:vAlign w:val="bottom"/>
          </w:tcPr>
          <w:p w14:paraId="2774690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5B2988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11701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4221 Uredska oprema i namještaj</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5306F5C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2.347,43</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D0FCD0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23A4BE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6.701,83</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417FCBF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285,50%</w:t>
            </w:r>
          </w:p>
        </w:tc>
        <w:tc>
          <w:tcPr>
            <w:tcW w:w="1173" w:type="dxa"/>
            <w:tcBorders>
              <w:top w:val="nil"/>
              <w:left w:val="nil"/>
              <w:bottom w:val="single" w:color="auto" w:sz="4" w:space="0"/>
              <w:right w:val="single" w:color="auto" w:sz="4" w:space="0"/>
            </w:tcBorders>
            <w:shd w:val="clear" w:color="auto" w:fill="auto"/>
            <w:noWrap/>
            <w:vAlign w:val="bottom"/>
          </w:tcPr>
          <w:p w14:paraId="5EC1A3B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D07CA00">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91F58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4226 Sportska i glazbena oprema</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4D84A29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45D77C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0C9FF9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6.733,74</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205F111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7A201D0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3BAE8CE">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EDD3E1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4227 Uređaji, strojevi i oprema za ostale namjene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8A3B4E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7B5FAC6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065C4E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7.440,67</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B3EE77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0,00%</w:t>
            </w:r>
          </w:p>
        </w:tc>
        <w:tc>
          <w:tcPr>
            <w:tcW w:w="1173" w:type="dxa"/>
            <w:tcBorders>
              <w:top w:val="nil"/>
              <w:left w:val="nil"/>
              <w:bottom w:val="single" w:color="auto" w:sz="4" w:space="0"/>
              <w:right w:val="single" w:color="auto" w:sz="4" w:space="0"/>
            </w:tcBorders>
            <w:shd w:val="clear" w:color="auto" w:fill="auto"/>
            <w:noWrap/>
            <w:vAlign w:val="bottom"/>
          </w:tcPr>
          <w:p w14:paraId="3741D5F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F0A34F8">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48212E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424 Knjige, umjetnička djela i ostale izložbene vrijednosti</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6D1B3F3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20.643,77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495610E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05D25C3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30.191,85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722745B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146,25%</w:t>
            </w:r>
          </w:p>
        </w:tc>
        <w:tc>
          <w:tcPr>
            <w:tcW w:w="1173" w:type="dxa"/>
            <w:tcBorders>
              <w:top w:val="nil"/>
              <w:left w:val="nil"/>
              <w:bottom w:val="single" w:color="auto" w:sz="4" w:space="0"/>
              <w:right w:val="single" w:color="auto" w:sz="4" w:space="0"/>
            </w:tcBorders>
            <w:shd w:val="clear" w:color="auto" w:fill="auto"/>
            <w:noWrap/>
            <w:vAlign w:val="bottom"/>
          </w:tcPr>
          <w:p w14:paraId="67ABA5F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30B7105">
        <w:tblPrEx>
          <w:tblCellMar>
            <w:top w:w="0" w:type="dxa"/>
            <w:left w:w="108" w:type="dxa"/>
            <w:bottom w:w="0" w:type="dxa"/>
            <w:right w:w="108" w:type="dxa"/>
          </w:tblCellMar>
        </w:tblPrEx>
        <w:trPr>
          <w:trHeight w:val="279" w:hRule="atLeast"/>
        </w:trPr>
        <w:tc>
          <w:tcPr>
            <w:tcW w:w="76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9ED1D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4241 Knjige</w:t>
            </w:r>
          </w:p>
        </w:tc>
        <w:tc>
          <w:tcPr>
            <w:tcW w:w="1614" w:type="dxa"/>
            <w:tcBorders>
              <w:top w:val="single" w:color="auto" w:sz="4" w:space="0"/>
              <w:left w:val="nil"/>
              <w:bottom w:val="single" w:color="auto" w:sz="4" w:space="0"/>
              <w:right w:val="single" w:color="auto" w:sz="4" w:space="0"/>
            </w:tcBorders>
            <w:shd w:val="clear" w:color="auto" w:fill="auto"/>
            <w:noWrap/>
            <w:vAlign w:val="bottom"/>
          </w:tcPr>
          <w:p w14:paraId="38E493A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20.643,77</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340114C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443" w:type="dxa"/>
            <w:tcBorders>
              <w:top w:val="single" w:color="auto" w:sz="4" w:space="0"/>
              <w:left w:val="nil"/>
              <w:bottom w:val="single" w:color="auto" w:sz="4" w:space="0"/>
              <w:right w:val="single" w:color="auto" w:sz="4" w:space="0"/>
            </w:tcBorders>
            <w:shd w:val="clear" w:color="auto" w:fill="auto"/>
            <w:noWrap/>
            <w:vAlign w:val="bottom"/>
          </w:tcPr>
          <w:p w14:paraId="28870F7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30.191,85</w:t>
            </w:r>
          </w:p>
        </w:tc>
        <w:tc>
          <w:tcPr>
            <w:tcW w:w="1222" w:type="dxa"/>
            <w:tcBorders>
              <w:top w:val="single" w:color="auto" w:sz="4" w:space="0"/>
              <w:left w:val="nil"/>
              <w:bottom w:val="single" w:color="auto" w:sz="4" w:space="0"/>
              <w:right w:val="single" w:color="auto" w:sz="4" w:space="0"/>
            </w:tcBorders>
            <w:shd w:val="clear" w:color="auto" w:fill="auto"/>
            <w:noWrap/>
            <w:vAlign w:val="bottom"/>
          </w:tcPr>
          <w:p w14:paraId="6068A3F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146,25%</w:t>
            </w:r>
          </w:p>
        </w:tc>
        <w:tc>
          <w:tcPr>
            <w:tcW w:w="1173" w:type="dxa"/>
            <w:tcBorders>
              <w:top w:val="nil"/>
              <w:left w:val="nil"/>
              <w:bottom w:val="single" w:color="auto" w:sz="4" w:space="0"/>
              <w:right w:val="single" w:color="auto" w:sz="4" w:space="0"/>
            </w:tcBorders>
            <w:shd w:val="clear" w:color="auto" w:fill="auto"/>
            <w:noWrap/>
            <w:vAlign w:val="bottom"/>
          </w:tcPr>
          <w:p w14:paraId="296717D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bl>
    <w:p w14:paraId="2056254B">
      <w:pPr>
        <w:pStyle w:val="6"/>
        <w:kinsoku w:val="0"/>
        <w:overflowPunct w:val="0"/>
        <w:spacing w:before="63"/>
        <w:ind w:left="147" w:firstLine="0"/>
        <w:rPr>
          <w:rFonts w:ascii="Arial" w:hAnsi="Arial" w:cs="Arial"/>
          <w:b/>
          <w:bCs/>
          <w:spacing w:val="-8"/>
          <w:sz w:val="20"/>
          <w:szCs w:val="20"/>
        </w:rPr>
      </w:pPr>
    </w:p>
    <w:p w14:paraId="18942633">
      <w:pPr>
        <w:widowControl/>
        <w:autoSpaceDE/>
        <w:autoSpaceDN/>
        <w:adjustRightInd/>
        <w:spacing w:after="160" w:line="259" w:lineRule="auto"/>
        <w:rPr>
          <w:rFonts w:ascii="Arial" w:hAnsi="Arial" w:cs="Arial"/>
          <w:b/>
          <w:bCs/>
          <w:spacing w:val="-8"/>
          <w:sz w:val="20"/>
          <w:szCs w:val="20"/>
        </w:rPr>
      </w:pPr>
      <w:r>
        <w:rPr>
          <w:rFonts w:ascii="Arial" w:hAnsi="Arial" w:cs="Arial"/>
          <w:b/>
          <w:bCs/>
          <w:spacing w:val="-8"/>
          <w:sz w:val="20"/>
          <w:szCs w:val="20"/>
        </w:rPr>
        <w:br w:type="page"/>
      </w:r>
    </w:p>
    <w:tbl>
      <w:tblPr>
        <w:tblStyle w:val="4"/>
        <w:tblW w:w="13298" w:type="dxa"/>
        <w:tblInd w:w="0" w:type="dxa"/>
        <w:tblLayout w:type="autofit"/>
        <w:tblCellMar>
          <w:top w:w="0" w:type="dxa"/>
          <w:left w:w="108" w:type="dxa"/>
          <w:bottom w:w="0" w:type="dxa"/>
          <w:right w:w="108" w:type="dxa"/>
        </w:tblCellMar>
      </w:tblPr>
      <w:tblGrid>
        <w:gridCol w:w="363"/>
        <w:gridCol w:w="206"/>
        <w:gridCol w:w="157"/>
        <w:gridCol w:w="363"/>
        <w:gridCol w:w="49"/>
        <w:gridCol w:w="314"/>
        <w:gridCol w:w="255"/>
        <w:gridCol w:w="108"/>
        <w:gridCol w:w="363"/>
        <w:gridCol w:w="98"/>
        <w:gridCol w:w="265"/>
        <w:gridCol w:w="304"/>
        <w:gridCol w:w="59"/>
        <w:gridCol w:w="363"/>
        <w:gridCol w:w="147"/>
        <w:gridCol w:w="216"/>
        <w:gridCol w:w="353"/>
        <w:gridCol w:w="10"/>
        <w:gridCol w:w="363"/>
        <w:gridCol w:w="196"/>
        <w:gridCol w:w="230"/>
        <w:gridCol w:w="339"/>
        <w:gridCol w:w="87"/>
        <w:gridCol w:w="427"/>
        <w:gridCol w:w="55"/>
        <w:gridCol w:w="371"/>
        <w:gridCol w:w="198"/>
        <w:gridCol w:w="229"/>
        <w:gridCol w:w="340"/>
        <w:gridCol w:w="8"/>
        <w:gridCol w:w="95"/>
        <w:gridCol w:w="445"/>
        <w:gridCol w:w="146"/>
        <w:gridCol w:w="299"/>
        <w:gridCol w:w="398"/>
        <w:gridCol w:w="11"/>
        <w:gridCol w:w="38"/>
        <w:gridCol w:w="477"/>
        <w:gridCol w:w="221"/>
        <w:gridCol w:w="746"/>
        <w:gridCol w:w="12"/>
        <w:gridCol w:w="685"/>
        <w:gridCol w:w="696"/>
        <w:gridCol w:w="13"/>
        <w:gridCol w:w="558"/>
        <w:gridCol w:w="569"/>
        <w:gridCol w:w="12"/>
        <w:gridCol w:w="557"/>
        <w:gridCol w:w="15"/>
        <w:gridCol w:w="554"/>
        <w:gridCol w:w="15"/>
      </w:tblGrid>
      <w:tr w14:paraId="14D7CEEE">
        <w:tblPrEx>
          <w:tblCellMar>
            <w:top w:w="0" w:type="dxa"/>
            <w:left w:w="108" w:type="dxa"/>
            <w:bottom w:w="0" w:type="dxa"/>
            <w:right w:w="108" w:type="dxa"/>
          </w:tblCellMar>
        </w:tblPrEx>
        <w:trPr>
          <w:gridAfter w:val="13"/>
          <w:wAfter w:w="4588" w:type="dxa"/>
          <w:trHeight w:val="337" w:hRule="atLeast"/>
        </w:trPr>
        <w:tc>
          <w:tcPr>
            <w:tcW w:w="363" w:type="dxa"/>
            <w:tcBorders>
              <w:top w:val="nil"/>
              <w:left w:val="nil"/>
              <w:bottom w:val="nil"/>
              <w:right w:val="nil"/>
            </w:tcBorders>
            <w:shd w:val="clear" w:color="auto" w:fill="auto"/>
            <w:noWrap/>
            <w:vAlign w:val="bottom"/>
          </w:tcPr>
          <w:p w14:paraId="614E3DBF">
            <w:pPr>
              <w:pStyle w:val="15"/>
              <w:widowControl/>
              <w:autoSpaceDE/>
              <w:autoSpaceDN/>
              <w:adjustRightInd/>
              <w:ind w:left="720"/>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11A3B603">
            <w:pPr>
              <w:widowControl/>
              <w:autoSpaceDE/>
              <w:autoSpaceDN/>
              <w:adjustRightInd/>
              <w:rPr>
                <w:rFonts w:eastAsia="Times New Roman"/>
                <w:sz w:val="18"/>
                <w:szCs w:val="20"/>
                <w:lang w:val="en-US" w:eastAsia="en-US"/>
              </w:rPr>
            </w:pPr>
          </w:p>
        </w:tc>
        <w:tc>
          <w:tcPr>
            <w:tcW w:w="363" w:type="dxa"/>
            <w:tcBorders>
              <w:top w:val="nil"/>
              <w:left w:val="nil"/>
              <w:bottom w:val="nil"/>
              <w:right w:val="nil"/>
            </w:tcBorders>
            <w:shd w:val="clear" w:color="auto" w:fill="auto"/>
            <w:noWrap/>
            <w:vAlign w:val="bottom"/>
          </w:tcPr>
          <w:p w14:paraId="508A3A99">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61F6F18C">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599D6C43">
            <w:pPr>
              <w:widowControl/>
              <w:autoSpaceDE/>
              <w:autoSpaceDN/>
              <w:adjustRightInd/>
              <w:rPr>
                <w:rFonts w:eastAsia="Times New Roman"/>
                <w:sz w:val="18"/>
                <w:szCs w:val="20"/>
                <w:lang w:val="en-US" w:eastAsia="en-US"/>
              </w:rPr>
            </w:pPr>
          </w:p>
        </w:tc>
        <w:tc>
          <w:tcPr>
            <w:tcW w:w="363" w:type="dxa"/>
            <w:tcBorders>
              <w:top w:val="nil"/>
              <w:left w:val="nil"/>
              <w:bottom w:val="nil"/>
              <w:right w:val="nil"/>
            </w:tcBorders>
            <w:shd w:val="clear" w:color="auto" w:fill="auto"/>
            <w:noWrap/>
            <w:vAlign w:val="bottom"/>
          </w:tcPr>
          <w:p w14:paraId="074F2F78">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03DCBC01">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462528B0">
            <w:pPr>
              <w:widowControl/>
              <w:autoSpaceDE/>
              <w:autoSpaceDN/>
              <w:adjustRightInd/>
              <w:rPr>
                <w:rFonts w:eastAsia="Times New Roman"/>
                <w:sz w:val="18"/>
                <w:szCs w:val="20"/>
                <w:lang w:val="en-US" w:eastAsia="en-US"/>
              </w:rPr>
            </w:pPr>
          </w:p>
        </w:tc>
        <w:tc>
          <w:tcPr>
            <w:tcW w:w="363" w:type="dxa"/>
            <w:tcBorders>
              <w:top w:val="nil"/>
              <w:left w:val="nil"/>
              <w:bottom w:val="nil"/>
              <w:right w:val="nil"/>
            </w:tcBorders>
            <w:shd w:val="clear" w:color="auto" w:fill="auto"/>
            <w:noWrap/>
            <w:vAlign w:val="bottom"/>
          </w:tcPr>
          <w:p w14:paraId="1A96B5DE">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22CBB588">
            <w:pPr>
              <w:widowControl/>
              <w:autoSpaceDE/>
              <w:autoSpaceDN/>
              <w:adjustRightInd/>
              <w:rPr>
                <w:rFonts w:eastAsia="Times New Roman"/>
                <w:sz w:val="18"/>
                <w:szCs w:val="20"/>
                <w:lang w:val="en-US" w:eastAsia="en-US"/>
              </w:rPr>
            </w:pPr>
          </w:p>
        </w:tc>
        <w:tc>
          <w:tcPr>
            <w:tcW w:w="363" w:type="dxa"/>
            <w:gridSpan w:val="2"/>
            <w:tcBorders>
              <w:top w:val="nil"/>
              <w:left w:val="nil"/>
              <w:bottom w:val="nil"/>
              <w:right w:val="nil"/>
            </w:tcBorders>
            <w:shd w:val="clear" w:color="auto" w:fill="auto"/>
            <w:noWrap/>
            <w:vAlign w:val="bottom"/>
          </w:tcPr>
          <w:p w14:paraId="7BFFD880">
            <w:pPr>
              <w:widowControl/>
              <w:autoSpaceDE/>
              <w:autoSpaceDN/>
              <w:adjustRightInd/>
              <w:rPr>
                <w:rFonts w:eastAsia="Times New Roman"/>
                <w:sz w:val="18"/>
                <w:szCs w:val="20"/>
                <w:lang w:val="en-US" w:eastAsia="en-US"/>
              </w:rPr>
            </w:pPr>
          </w:p>
        </w:tc>
        <w:tc>
          <w:tcPr>
            <w:tcW w:w="363" w:type="dxa"/>
            <w:tcBorders>
              <w:top w:val="nil"/>
              <w:left w:val="nil"/>
              <w:bottom w:val="nil"/>
              <w:right w:val="nil"/>
            </w:tcBorders>
            <w:shd w:val="clear" w:color="auto" w:fill="auto"/>
            <w:noWrap/>
            <w:vAlign w:val="bottom"/>
          </w:tcPr>
          <w:p w14:paraId="2121AC40">
            <w:pPr>
              <w:widowControl/>
              <w:autoSpaceDE/>
              <w:autoSpaceDN/>
              <w:adjustRightInd/>
              <w:rPr>
                <w:rFonts w:eastAsia="Times New Roman"/>
                <w:sz w:val="18"/>
                <w:szCs w:val="20"/>
                <w:lang w:val="en-US" w:eastAsia="en-US"/>
              </w:rPr>
            </w:pPr>
          </w:p>
        </w:tc>
        <w:tc>
          <w:tcPr>
            <w:tcW w:w="426" w:type="dxa"/>
            <w:gridSpan w:val="2"/>
            <w:tcBorders>
              <w:top w:val="nil"/>
              <w:left w:val="nil"/>
              <w:bottom w:val="nil"/>
              <w:right w:val="nil"/>
            </w:tcBorders>
            <w:shd w:val="clear" w:color="auto" w:fill="auto"/>
            <w:noWrap/>
            <w:vAlign w:val="bottom"/>
          </w:tcPr>
          <w:p w14:paraId="23D9CF92">
            <w:pPr>
              <w:widowControl/>
              <w:autoSpaceDE/>
              <w:autoSpaceDN/>
              <w:adjustRightInd/>
              <w:rPr>
                <w:rFonts w:eastAsia="Times New Roman"/>
                <w:sz w:val="18"/>
                <w:szCs w:val="20"/>
                <w:lang w:val="en-US" w:eastAsia="en-US"/>
              </w:rPr>
            </w:pPr>
          </w:p>
        </w:tc>
        <w:tc>
          <w:tcPr>
            <w:tcW w:w="426" w:type="dxa"/>
            <w:gridSpan w:val="2"/>
            <w:tcBorders>
              <w:top w:val="nil"/>
              <w:left w:val="nil"/>
              <w:bottom w:val="nil"/>
              <w:right w:val="nil"/>
            </w:tcBorders>
            <w:shd w:val="clear" w:color="auto" w:fill="auto"/>
            <w:noWrap/>
            <w:vAlign w:val="bottom"/>
          </w:tcPr>
          <w:p w14:paraId="75FCCFFB">
            <w:pPr>
              <w:widowControl/>
              <w:autoSpaceDE/>
              <w:autoSpaceDN/>
              <w:adjustRightInd/>
              <w:rPr>
                <w:rFonts w:eastAsia="Times New Roman"/>
                <w:sz w:val="18"/>
                <w:szCs w:val="20"/>
                <w:lang w:val="en-US" w:eastAsia="en-US"/>
              </w:rPr>
            </w:pPr>
          </w:p>
        </w:tc>
        <w:tc>
          <w:tcPr>
            <w:tcW w:w="427" w:type="dxa"/>
            <w:tcBorders>
              <w:top w:val="nil"/>
              <w:left w:val="nil"/>
              <w:bottom w:val="nil"/>
              <w:right w:val="nil"/>
            </w:tcBorders>
            <w:shd w:val="clear" w:color="auto" w:fill="auto"/>
            <w:noWrap/>
            <w:vAlign w:val="bottom"/>
          </w:tcPr>
          <w:p w14:paraId="7EC3B602">
            <w:pPr>
              <w:widowControl/>
              <w:autoSpaceDE/>
              <w:autoSpaceDN/>
              <w:adjustRightInd/>
              <w:rPr>
                <w:rFonts w:eastAsia="Times New Roman"/>
                <w:sz w:val="18"/>
                <w:szCs w:val="20"/>
                <w:lang w:val="en-US" w:eastAsia="en-US"/>
              </w:rPr>
            </w:pPr>
          </w:p>
        </w:tc>
        <w:tc>
          <w:tcPr>
            <w:tcW w:w="426" w:type="dxa"/>
            <w:gridSpan w:val="2"/>
            <w:tcBorders>
              <w:top w:val="nil"/>
              <w:left w:val="nil"/>
              <w:bottom w:val="nil"/>
              <w:right w:val="nil"/>
            </w:tcBorders>
            <w:shd w:val="clear" w:color="auto" w:fill="auto"/>
            <w:noWrap/>
            <w:vAlign w:val="bottom"/>
          </w:tcPr>
          <w:p w14:paraId="352A653C">
            <w:pPr>
              <w:widowControl/>
              <w:autoSpaceDE/>
              <w:autoSpaceDN/>
              <w:adjustRightInd/>
              <w:rPr>
                <w:rFonts w:eastAsia="Times New Roman"/>
                <w:sz w:val="18"/>
                <w:szCs w:val="20"/>
                <w:lang w:val="en-US" w:eastAsia="en-US"/>
              </w:rPr>
            </w:pPr>
          </w:p>
        </w:tc>
        <w:tc>
          <w:tcPr>
            <w:tcW w:w="427" w:type="dxa"/>
            <w:gridSpan w:val="2"/>
            <w:tcBorders>
              <w:top w:val="nil"/>
              <w:left w:val="nil"/>
              <w:bottom w:val="nil"/>
              <w:right w:val="nil"/>
            </w:tcBorders>
            <w:shd w:val="clear" w:color="auto" w:fill="auto"/>
            <w:noWrap/>
            <w:vAlign w:val="bottom"/>
          </w:tcPr>
          <w:p w14:paraId="367A880A">
            <w:pPr>
              <w:widowControl/>
              <w:autoSpaceDE/>
              <w:autoSpaceDN/>
              <w:adjustRightInd/>
              <w:rPr>
                <w:rFonts w:eastAsia="Times New Roman"/>
                <w:sz w:val="18"/>
                <w:szCs w:val="20"/>
                <w:lang w:val="en-US" w:eastAsia="en-US"/>
              </w:rPr>
            </w:pPr>
          </w:p>
        </w:tc>
        <w:tc>
          <w:tcPr>
            <w:tcW w:w="443" w:type="dxa"/>
            <w:gridSpan w:val="3"/>
            <w:tcBorders>
              <w:top w:val="nil"/>
              <w:left w:val="nil"/>
              <w:bottom w:val="nil"/>
              <w:right w:val="nil"/>
            </w:tcBorders>
            <w:shd w:val="clear" w:color="auto" w:fill="auto"/>
            <w:noWrap/>
            <w:vAlign w:val="bottom"/>
          </w:tcPr>
          <w:p w14:paraId="15C1A7ED">
            <w:pPr>
              <w:widowControl/>
              <w:autoSpaceDE/>
              <w:autoSpaceDN/>
              <w:adjustRightInd/>
              <w:rPr>
                <w:rFonts w:eastAsia="Times New Roman"/>
                <w:sz w:val="18"/>
                <w:szCs w:val="20"/>
                <w:lang w:val="en-US" w:eastAsia="en-US"/>
              </w:rPr>
            </w:pPr>
          </w:p>
        </w:tc>
        <w:tc>
          <w:tcPr>
            <w:tcW w:w="445" w:type="dxa"/>
            <w:tcBorders>
              <w:top w:val="nil"/>
              <w:left w:val="nil"/>
              <w:bottom w:val="nil"/>
              <w:right w:val="nil"/>
            </w:tcBorders>
            <w:shd w:val="clear" w:color="auto" w:fill="auto"/>
            <w:noWrap/>
            <w:vAlign w:val="bottom"/>
          </w:tcPr>
          <w:p w14:paraId="4153DCBB">
            <w:pPr>
              <w:widowControl/>
              <w:autoSpaceDE/>
              <w:autoSpaceDN/>
              <w:adjustRightInd/>
              <w:rPr>
                <w:rFonts w:eastAsia="Times New Roman"/>
                <w:sz w:val="18"/>
                <w:szCs w:val="20"/>
                <w:lang w:val="en-US" w:eastAsia="en-US"/>
              </w:rPr>
            </w:pPr>
          </w:p>
        </w:tc>
        <w:tc>
          <w:tcPr>
            <w:tcW w:w="445" w:type="dxa"/>
            <w:gridSpan w:val="2"/>
            <w:tcBorders>
              <w:top w:val="nil"/>
              <w:left w:val="nil"/>
              <w:bottom w:val="nil"/>
              <w:right w:val="nil"/>
            </w:tcBorders>
            <w:shd w:val="clear" w:color="auto" w:fill="auto"/>
            <w:noWrap/>
            <w:vAlign w:val="bottom"/>
          </w:tcPr>
          <w:p w14:paraId="4947BD29">
            <w:pPr>
              <w:widowControl/>
              <w:autoSpaceDE/>
              <w:autoSpaceDN/>
              <w:adjustRightInd/>
              <w:rPr>
                <w:rFonts w:eastAsia="Times New Roman"/>
                <w:sz w:val="18"/>
                <w:szCs w:val="20"/>
                <w:lang w:val="en-US" w:eastAsia="en-US"/>
              </w:rPr>
            </w:pPr>
          </w:p>
        </w:tc>
        <w:tc>
          <w:tcPr>
            <w:tcW w:w="444" w:type="dxa"/>
            <w:gridSpan w:val="3"/>
            <w:tcBorders>
              <w:top w:val="nil"/>
              <w:left w:val="nil"/>
              <w:bottom w:val="nil"/>
              <w:right w:val="nil"/>
            </w:tcBorders>
            <w:shd w:val="clear" w:color="auto" w:fill="auto"/>
            <w:noWrap/>
            <w:vAlign w:val="bottom"/>
          </w:tcPr>
          <w:p w14:paraId="6030B5D2">
            <w:pPr>
              <w:widowControl/>
              <w:autoSpaceDE/>
              <w:autoSpaceDN/>
              <w:adjustRightInd/>
              <w:rPr>
                <w:rFonts w:eastAsia="Times New Roman"/>
                <w:sz w:val="18"/>
                <w:szCs w:val="20"/>
                <w:lang w:val="en-US" w:eastAsia="en-US"/>
              </w:rPr>
            </w:pPr>
          </w:p>
        </w:tc>
        <w:tc>
          <w:tcPr>
            <w:tcW w:w="445" w:type="dxa"/>
            <w:tcBorders>
              <w:top w:val="nil"/>
              <w:left w:val="nil"/>
              <w:bottom w:val="nil"/>
              <w:right w:val="nil"/>
            </w:tcBorders>
            <w:shd w:val="clear" w:color="auto" w:fill="auto"/>
            <w:noWrap/>
            <w:vAlign w:val="bottom"/>
          </w:tcPr>
          <w:p w14:paraId="47BC10A8">
            <w:pPr>
              <w:widowControl/>
              <w:autoSpaceDE/>
              <w:autoSpaceDN/>
              <w:adjustRightInd/>
              <w:rPr>
                <w:rFonts w:eastAsia="Times New Roman"/>
                <w:sz w:val="18"/>
                <w:szCs w:val="20"/>
                <w:lang w:val="en-US" w:eastAsia="en-US"/>
              </w:rPr>
            </w:pPr>
          </w:p>
        </w:tc>
      </w:tr>
      <w:tr w14:paraId="4EE5F680">
        <w:tblPrEx>
          <w:tblCellMar>
            <w:top w:w="0" w:type="dxa"/>
            <w:left w:w="108" w:type="dxa"/>
            <w:bottom w:w="0" w:type="dxa"/>
            <w:right w:w="108" w:type="dxa"/>
          </w:tblCellMar>
        </w:tblPrEx>
        <w:trPr>
          <w:gridAfter w:val="13"/>
          <w:wAfter w:w="4588" w:type="dxa"/>
          <w:trHeight w:val="337" w:hRule="atLeast"/>
        </w:trPr>
        <w:tc>
          <w:tcPr>
            <w:tcW w:w="363" w:type="dxa"/>
            <w:tcBorders>
              <w:top w:val="nil"/>
              <w:left w:val="nil"/>
              <w:bottom w:val="nil"/>
              <w:right w:val="nil"/>
            </w:tcBorders>
            <w:shd w:val="clear" w:color="auto" w:fill="auto"/>
            <w:noWrap/>
            <w:vAlign w:val="bottom"/>
          </w:tcPr>
          <w:p w14:paraId="362A4865">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0F280C8F">
            <w:pPr>
              <w:widowControl/>
              <w:autoSpaceDE/>
              <w:autoSpaceDN/>
              <w:adjustRightInd/>
              <w:rPr>
                <w:rFonts w:eastAsia="Times New Roman"/>
                <w:sz w:val="20"/>
                <w:szCs w:val="20"/>
                <w:lang w:val="en-US" w:eastAsia="en-US"/>
              </w:rPr>
            </w:pPr>
          </w:p>
        </w:tc>
        <w:tc>
          <w:tcPr>
            <w:tcW w:w="363" w:type="dxa"/>
            <w:tcBorders>
              <w:top w:val="nil"/>
              <w:left w:val="nil"/>
              <w:bottom w:val="nil"/>
              <w:right w:val="nil"/>
            </w:tcBorders>
            <w:shd w:val="clear" w:color="auto" w:fill="auto"/>
            <w:noWrap/>
            <w:vAlign w:val="bottom"/>
          </w:tcPr>
          <w:p w14:paraId="0E767077">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70C546A4">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5B33F15F">
            <w:pPr>
              <w:widowControl/>
              <w:autoSpaceDE/>
              <w:autoSpaceDN/>
              <w:adjustRightInd/>
              <w:rPr>
                <w:rFonts w:eastAsia="Times New Roman"/>
                <w:sz w:val="20"/>
                <w:szCs w:val="20"/>
                <w:lang w:val="en-US" w:eastAsia="en-US"/>
              </w:rPr>
            </w:pPr>
          </w:p>
        </w:tc>
        <w:tc>
          <w:tcPr>
            <w:tcW w:w="363" w:type="dxa"/>
            <w:tcBorders>
              <w:top w:val="nil"/>
              <w:left w:val="nil"/>
              <w:bottom w:val="nil"/>
              <w:right w:val="nil"/>
            </w:tcBorders>
            <w:shd w:val="clear" w:color="auto" w:fill="auto"/>
            <w:noWrap/>
            <w:vAlign w:val="bottom"/>
          </w:tcPr>
          <w:p w14:paraId="72BFA3A6">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3CF604DA">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4524E840">
            <w:pPr>
              <w:widowControl/>
              <w:autoSpaceDE/>
              <w:autoSpaceDN/>
              <w:adjustRightInd/>
              <w:rPr>
                <w:rFonts w:eastAsia="Times New Roman"/>
                <w:sz w:val="20"/>
                <w:szCs w:val="20"/>
                <w:lang w:val="en-US" w:eastAsia="en-US"/>
              </w:rPr>
            </w:pPr>
          </w:p>
        </w:tc>
        <w:tc>
          <w:tcPr>
            <w:tcW w:w="363" w:type="dxa"/>
            <w:tcBorders>
              <w:top w:val="nil"/>
              <w:left w:val="nil"/>
              <w:bottom w:val="nil"/>
              <w:right w:val="nil"/>
            </w:tcBorders>
            <w:shd w:val="clear" w:color="auto" w:fill="auto"/>
            <w:noWrap/>
            <w:vAlign w:val="bottom"/>
          </w:tcPr>
          <w:p w14:paraId="33EEBCE9">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68D2126E">
            <w:pPr>
              <w:widowControl/>
              <w:autoSpaceDE/>
              <w:autoSpaceDN/>
              <w:adjustRightInd/>
              <w:rPr>
                <w:rFonts w:eastAsia="Times New Roman"/>
                <w:sz w:val="20"/>
                <w:szCs w:val="20"/>
                <w:lang w:val="en-US" w:eastAsia="en-US"/>
              </w:rPr>
            </w:pPr>
          </w:p>
        </w:tc>
        <w:tc>
          <w:tcPr>
            <w:tcW w:w="363" w:type="dxa"/>
            <w:gridSpan w:val="2"/>
            <w:tcBorders>
              <w:top w:val="nil"/>
              <w:left w:val="nil"/>
              <w:bottom w:val="nil"/>
              <w:right w:val="nil"/>
            </w:tcBorders>
            <w:shd w:val="clear" w:color="auto" w:fill="auto"/>
            <w:noWrap/>
            <w:vAlign w:val="bottom"/>
          </w:tcPr>
          <w:p w14:paraId="5E19F35B">
            <w:pPr>
              <w:widowControl/>
              <w:autoSpaceDE/>
              <w:autoSpaceDN/>
              <w:adjustRightInd/>
              <w:rPr>
                <w:rFonts w:eastAsia="Times New Roman"/>
                <w:sz w:val="20"/>
                <w:szCs w:val="20"/>
                <w:lang w:val="en-US" w:eastAsia="en-US"/>
              </w:rPr>
            </w:pPr>
          </w:p>
        </w:tc>
        <w:tc>
          <w:tcPr>
            <w:tcW w:w="363" w:type="dxa"/>
            <w:tcBorders>
              <w:top w:val="nil"/>
              <w:left w:val="nil"/>
              <w:bottom w:val="nil"/>
              <w:right w:val="nil"/>
            </w:tcBorders>
            <w:shd w:val="clear" w:color="auto" w:fill="auto"/>
            <w:noWrap/>
            <w:vAlign w:val="bottom"/>
          </w:tcPr>
          <w:p w14:paraId="2499CB64">
            <w:pPr>
              <w:widowControl/>
              <w:autoSpaceDE/>
              <w:autoSpaceDN/>
              <w:adjustRightInd/>
              <w:rPr>
                <w:rFonts w:eastAsia="Times New Roman"/>
                <w:sz w:val="20"/>
                <w:szCs w:val="20"/>
                <w:lang w:val="en-US" w:eastAsia="en-US"/>
              </w:rPr>
            </w:pPr>
          </w:p>
        </w:tc>
        <w:tc>
          <w:tcPr>
            <w:tcW w:w="426" w:type="dxa"/>
            <w:gridSpan w:val="2"/>
            <w:tcBorders>
              <w:top w:val="nil"/>
              <w:left w:val="nil"/>
              <w:bottom w:val="nil"/>
              <w:right w:val="nil"/>
            </w:tcBorders>
            <w:shd w:val="clear" w:color="auto" w:fill="auto"/>
            <w:noWrap/>
            <w:vAlign w:val="bottom"/>
          </w:tcPr>
          <w:p w14:paraId="3B1C934B">
            <w:pPr>
              <w:widowControl/>
              <w:autoSpaceDE/>
              <w:autoSpaceDN/>
              <w:adjustRightInd/>
              <w:rPr>
                <w:rFonts w:eastAsia="Times New Roman"/>
                <w:sz w:val="20"/>
                <w:szCs w:val="20"/>
                <w:lang w:val="en-US" w:eastAsia="en-US"/>
              </w:rPr>
            </w:pPr>
          </w:p>
        </w:tc>
        <w:tc>
          <w:tcPr>
            <w:tcW w:w="426" w:type="dxa"/>
            <w:gridSpan w:val="2"/>
            <w:tcBorders>
              <w:top w:val="nil"/>
              <w:left w:val="nil"/>
              <w:bottom w:val="nil"/>
              <w:right w:val="nil"/>
            </w:tcBorders>
            <w:shd w:val="clear" w:color="auto" w:fill="auto"/>
            <w:noWrap/>
            <w:vAlign w:val="bottom"/>
          </w:tcPr>
          <w:p w14:paraId="524B8786">
            <w:pPr>
              <w:widowControl/>
              <w:autoSpaceDE/>
              <w:autoSpaceDN/>
              <w:adjustRightInd/>
              <w:rPr>
                <w:rFonts w:eastAsia="Times New Roman"/>
                <w:sz w:val="20"/>
                <w:szCs w:val="20"/>
                <w:lang w:val="en-US" w:eastAsia="en-US"/>
              </w:rPr>
            </w:pPr>
          </w:p>
        </w:tc>
        <w:tc>
          <w:tcPr>
            <w:tcW w:w="427" w:type="dxa"/>
            <w:tcBorders>
              <w:top w:val="nil"/>
              <w:left w:val="nil"/>
              <w:bottom w:val="nil"/>
              <w:right w:val="nil"/>
            </w:tcBorders>
            <w:shd w:val="clear" w:color="auto" w:fill="auto"/>
            <w:noWrap/>
            <w:vAlign w:val="bottom"/>
          </w:tcPr>
          <w:p w14:paraId="369B135F">
            <w:pPr>
              <w:widowControl/>
              <w:autoSpaceDE/>
              <w:autoSpaceDN/>
              <w:adjustRightInd/>
              <w:rPr>
                <w:rFonts w:eastAsia="Times New Roman"/>
                <w:sz w:val="20"/>
                <w:szCs w:val="20"/>
                <w:lang w:val="en-US" w:eastAsia="en-US"/>
              </w:rPr>
            </w:pPr>
          </w:p>
        </w:tc>
        <w:tc>
          <w:tcPr>
            <w:tcW w:w="426" w:type="dxa"/>
            <w:gridSpan w:val="2"/>
            <w:tcBorders>
              <w:top w:val="nil"/>
              <w:left w:val="nil"/>
              <w:bottom w:val="nil"/>
              <w:right w:val="nil"/>
            </w:tcBorders>
            <w:shd w:val="clear" w:color="auto" w:fill="auto"/>
            <w:noWrap/>
            <w:vAlign w:val="bottom"/>
          </w:tcPr>
          <w:p w14:paraId="7642E85E">
            <w:pPr>
              <w:widowControl/>
              <w:autoSpaceDE/>
              <w:autoSpaceDN/>
              <w:adjustRightInd/>
              <w:rPr>
                <w:rFonts w:eastAsia="Times New Roman"/>
                <w:sz w:val="20"/>
                <w:szCs w:val="20"/>
                <w:lang w:val="en-US" w:eastAsia="en-US"/>
              </w:rPr>
            </w:pPr>
          </w:p>
        </w:tc>
        <w:tc>
          <w:tcPr>
            <w:tcW w:w="427" w:type="dxa"/>
            <w:gridSpan w:val="2"/>
            <w:tcBorders>
              <w:top w:val="nil"/>
              <w:left w:val="nil"/>
              <w:bottom w:val="nil"/>
              <w:right w:val="nil"/>
            </w:tcBorders>
            <w:shd w:val="clear" w:color="auto" w:fill="auto"/>
            <w:noWrap/>
            <w:vAlign w:val="bottom"/>
          </w:tcPr>
          <w:p w14:paraId="7FD95B93">
            <w:pPr>
              <w:widowControl/>
              <w:autoSpaceDE/>
              <w:autoSpaceDN/>
              <w:adjustRightInd/>
              <w:rPr>
                <w:rFonts w:eastAsia="Times New Roman"/>
                <w:sz w:val="20"/>
                <w:szCs w:val="20"/>
                <w:lang w:val="en-US" w:eastAsia="en-US"/>
              </w:rPr>
            </w:pPr>
          </w:p>
        </w:tc>
        <w:tc>
          <w:tcPr>
            <w:tcW w:w="443" w:type="dxa"/>
            <w:gridSpan w:val="3"/>
            <w:tcBorders>
              <w:top w:val="nil"/>
              <w:left w:val="nil"/>
              <w:bottom w:val="nil"/>
              <w:right w:val="nil"/>
            </w:tcBorders>
            <w:shd w:val="clear" w:color="auto" w:fill="auto"/>
            <w:noWrap/>
            <w:vAlign w:val="bottom"/>
          </w:tcPr>
          <w:p w14:paraId="509B194D">
            <w:pPr>
              <w:widowControl/>
              <w:autoSpaceDE/>
              <w:autoSpaceDN/>
              <w:adjustRightInd/>
              <w:rPr>
                <w:rFonts w:eastAsia="Times New Roman"/>
                <w:sz w:val="20"/>
                <w:szCs w:val="20"/>
                <w:lang w:val="en-US" w:eastAsia="en-US"/>
              </w:rPr>
            </w:pPr>
          </w:p>
        </w:tc>
        <w:tc>
          <w:tcPr>
            <w:tcW w:w="445" w:type="dxa"/>
            <w:tcBorders>
              <w:top w:val="nil"/>
              <w:left w:val="nil"/>
              <w:bottom w:val="nil"/>
              <w:right w:val="nil"/>
            </w:tcBorders>
            <w:shd w:val="clear" w:color="auto" w:fill="auto"/>
            <w:noWrap/>
            <w:vAlign w:val="bottom"/>
          </w:tcPr>
          <w:p w14:paraId="69268566">
            <w:pPr>
              <w:widowControl/>
              <w:autoSpaceDE/>
              <w:autoSpaceDN/>
              <w:adjustRightInd/>
              <w:rPr>
                <w:rFonts w:eastAsia="Times New Roman"/>
                <w:sz w:val="20"/>
                <w:szCs w:val="20"/>
                <w:lang w:val="en-US" w:eastAsia="en-US"/>
              </w:rPr>
            </w:pPr>
          </w:p>
        </w:tc>
        <w:tc>
          <w:tcPr>
            <w:tcW w:w="445" w:type="dxa"/>
            <w:gridSpan w:val="2"/>
            <w:tcBorders>
              <w:top w:val="nil"/>
              <w:left w:val="nil"/>
              <w:bottom w:val="nil"/>
              <w:right w:val="nil"/>
            </w:tcBorders>
            <w:shd w:val="clear" w:color="auto" w:fill="auto"/>
            <w:noWrap/>
            <w:vAlign w:val="bottom"/>
          </w:tcPr>
          <w:p w14:paraId="05D87F83">
            <w:pPr>
              <w:widowControl/>
              <w:autoSpaceDE/>
              <w:autoSpaceDN/>
              <w:adjustRightInd/>
              <w:rPr>
                <w:rFonts w:eastAsia="Times New Roman"/>
                <w:sz w:val="20"/>
                <w:szCs w:val="20"/>
                <w:lang w:val="en-US" w:eastAsia="en-US"/>
              </w:rPr>
            </w:pPr>
          </w:p>
        </w:tc>
        <w:tc>
          <w:tcPr>
            <w:tcW w:w="444" w:type="dxa"/>
            <w:gridSpan w:val="3"/>
            <w:tcBorders>
              <w:top w:val="nil"/>
              <w:left w:val="nil"/>
              <w:bottom w:val="nil"/>
              <w:right w:val="nil"/>
            </w:tcBorders>
            <w:shd w:val="clear" w:color="auto" w:fill="auto"/>
            <w:noWrap/>
            <w:vAlign w:val="bottom"/>
          </w:tcPr>
          <w:p w14:paraId="5DA075D1">
            <w:pPr>
              <w:widowControl/>
              <w:autoSpaceDE/>
              <w:autoSpaceDN/>
              <w:adjustRightInd/>
              <w:rPr>
                <w:rFonts w:eastAsia="Times New Roman"/>
                <w:sz w:val="20"/>
                <w:szCs w:val="20"/>
                <w:lang w:val="en-US" w:eastAsia="en-US"/>
              </w:rPr>
            </w:pPr>
          </w:p>
        </w:tc>
        <w:tc>
          <w:tcPr>
            <w:tcW w:w="445" w:type="dxa"/>
            <w:tcBorders>
              <w:top w:val="nil"/>
              <w:left w:val="nil"/>
              <w:bottom w:val="nil"/>
              <w:right w:val="nil"/>
            </w:tcBorders>
            <w:shd w:val="clear" w:color="auto" w:fill="auto"/>
            <w:noWrap/>
            <w:vAlign w:val="bottom"/>
          </w:tcPr>
          <w:p w14:paraId="6FD4B9BA">
            <w:pPr>
              <w:widowControl/>
              <w:autoSpaceDE/>
              <w:autoSpaceDN/>
              <w:adjustRightInd/>
              <w:rPr>
                <w:rFonts w:eastAsia="Times New Roman"/>
                <w:sz w:val="20"/>
                <w:szCs w:val="20"/>
                <w:lang w:val="en-US" w:eastAsia="en-US"/>
              </w:rPr>
            </w:pPr>
          </w:p>
        </w:tc>
      </w:tr>
      <w:tr w14:paraId="6DD8C793">
        <w:tblPrEx>
          <w:tblCellMar>
            <w:top w:w="0" w:type="dxa"/>
            <w:left w:w="108" w:type="dxa"/>
            <w:bottom w:w="0" w:type="dxa"/>
            <w:right w:w="108" w:type="dxa"/>
          </w:tblCellMar>
        </w:tblPrEx>
        <w:trPr>
          <w:trHeight w:val="323" w:hRule="atLeast"/>
        </w:trPr>
        <w:tc>
          <w:tcPr>
            <w:tcW w:w="12729" w:type="dxa"/>
            <w:gridSpan w:val="49"/>
            <w:tcBorders>
              <w:top w:val="nil"/>
              <w:left w:val="nil"/>
              <w:bottom w:val="nil"/>
              <w:right w:val="nil"/>
            </w:tcBorders>
            <w:shd w:val="clear" w:color="auto" w:fill="auto"/>
            <w:noWrap/>
            <w:vAlign w:val="bottom"/>
          </w:tcPr>
          <w:p w14:paraId="72A0B4FB">
            <w:pPr>
              <w:widowControl/>
              <w:autoSpaceDE/>
              <w:autoSpaceDN/>
              <w:adjustRightInd/>
              <w:jc w:val="center"/>
              <w:rPr>
                <w:rFonts w:ascii="Calibri" w:hAnsi="Calibri" w:eastAsia="Times New Roman" w:cs="Calibri"/>
                <w:b/>
                <w:bCs/>
                <w:sz w:val="28"/>
                <w:szCs w:val="28"/>
                <w:lang w:val="en-US" w:eastAsia="en-US"/>
              </w:rPr>
            </w:pPr>
            <w:r>
              <w:rPr>
                <w:rFonts w:ascii="Calibri" w:hAnsi="Calibri" w:eastAsia="Times New Roman" w:cs="Calibri"/>
                <w:b/>
                <w:bCs/>
                <w:sz w:val="28"/>
                <w:szCs w:val="28"/>
                <w:lang w:val="en-US" w:eastAsia="en-US"/>
              </w:rPr>
              <w:t>Prihodi i rashodi prema izvorima</w:t>
            </w:r>
          </w:p>
        </w:tc>
        <w:tc>
          <w:tcPr>
            <w:tcW w:w="569" w:type="dxa"/>
            <w:gridSpan w:val="2"/>
            <w:tcBorders>
              <w:top w:val="nil"/>
              <w:left w:val="nil"/>
              <w:bottom w:val="nil"/>
              <w:right w:val="nil"/>
            </w:tcBorders>
            <w:shd w:val="clear" w:color="auto" w:fill="auto"/>
            <w:noWrap/>
            <w:vAlign w:val="bottom"/>
          </w:tcPr>
          <w:p w14:paraId="1A4BED3C">
            <w:pPr>
              <w:widowControl/>
              <w:autoSpaceDE/>
              <w:autoSpaceDN/>
              <w:adjustRightInd/>
              <w:jc w:val="center"/>
              <w:rPr>
                <w:rFonts w:ascii="Calibri" w:hAnsi="Calibri" w:eastAsia="Times New Roman" w:cs="Calibri"/>
                <w:b/>
                <w:bCs/>
                <w:sz w:val="28"/>
                <w:szCs w:val="28"/>
                <w:lang w:val="en-US" w:eastAsia="en-US"/>
              </w:rPr>
            </w:pPr>
          </w:p>
        </w:tc>
      </w:tr>
      <w:tr w14:paraId="626C5768">
        <w:tblPrEx>
          <w:tblCellMar>
            <w:top w:w="0" w:type="dxa"/>
            <w:left w:w="108" w:type="dxa"/>
            <w:bottom w:w="0" w:type="dxa"/>
            <w:right w:w="108" w:type="dxa"/>
          </w:tblCellMar>
        </w:tblPrEx>
        <w:trPr>
          <w:trHeight w:val="258" w:hRule="atLeast"/>
        </w:trPr>
        <w:tc>
          <w:tcPr>
            <w:tcW w:w="12729" w:type="dxa"/>
            <w:gridSpan w:val="49"/>
            <w:tcBorders>
              <w:top w:val="nil"/>
              <w:left w:val="nil"/>
              <w:bottom w:val="nil"/>
              <w:right w:val="nil"/>
            </w:tcBorders>
            <w:shd w:val="clear" w:color="auto" w:fill="auto"/>
            <w:noWrap/>
            <w:vAlign w:val="bottom"/>
          </w:tcPr>
          <w:p w14:paraId="306D35C2">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 razdoblje od 01.01.2024. do 31.12.2024.</w:t>
            </w:r>
          </w:p>
        </w:tc>
        <w:tc>
          <w:tcPr>
            <w:tcW w:w="569" w:type="dxa"/>
            <w:gridSpan w:val="2"/>
            <w:tcBorders>
              <w:top w:val="nil"/>
              <w:left w:val="nil"/>
              <w:bottom w:val="nil"/>
              <w:right w:val="nil"/>
            </w:tcBorders>
            <w:shd w:val="clear" w:color="auto" w:fill="auto"/>
            <w:noWrap/>
            <w:vAlign w:val="bottom"/>
          </w:tcPr>
          <w:p w14:paraId="68B427EB">
            <w:pPr>
              <w:widowControl/>
              <w:autoSpaceDE/>
              <w:autoSpaceDN/>
              <w:adjustRightInd/>
              <w:jc w:val="center"/>
              <w:rPr>
                <w:rFonts w:ascii="Calibri" w:hAnsi="Calibri" w:eastAsia="Times New Roman" w:cs="Calibri"/>
                <w:color w:val="000000"/>
                <w:sz w:val="22"/>
                <w:szCs w:val="22"/>
                <w:lang w:val="en-US" w:eastAsia="en-US"/>
              </w:rPr>
            </w:pPr>
          </w:p>
        </w:tc>
      </w:tr>
      <w:tr w14:paraId="270C5243">
        <w:tblPrEx>
          <w:tblCellMar>
            <w:top w:w="0" w:type="dxa"/>
            <w:left w:w="108" w:type="dxa"/>
            <w:bottom w:w="0" w:type="dxa"/>
            <w:right w:w="108" w:type="dxa"/>
          </w:tblCellMar>
        </w:tblPrEx>
        <w:trPr>
          <w:trHeight w:val="258" w:hRule="atLeast"/>
        </w:trPr>
        <w:tc>
          <w:tcPr>
            <w:tcW w:w="12729" w:type="dxa"/>
            <w:gridSpan w:val="49"/>
            <w:tcBorders>
              <w:top w:val="nil"/>
              <w:left w:val="nil"/>
              <w:bottom w:val="nil"/>
              <w:right w:val="nil"/>
            </w:tcBorders>
            <w:shd w:val="clear" w:color="auto" w:fill="auto"/>
            <w:noWrap/>
            <w:vAlign w:val="bottom"/>
          </w:tcPr>
          <w:p w14:paraId="71622657">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569" w:type="dxa"/>
            <w:gridSpan w:val="2"/>
            <w:tcBorders>
              <w:top w:val="nil"/>
              <w:left w:val="nil"/>
              <w:bottom w:val="nil"/>
              <w:right w:val="nil"/>
            </w:tcBorders>
            <w:shd w:val="clear" w:color="auto" w:fill="auto"/>
            <w:noWrap/>
            <w:vAlign w:val="bottom"/>
          </w:tcPr>
          <w:p w14:paraId="5D65D795">
            <w:pPr>
              <w:widowControl/>
              <w:autoSpaceDE/>
              <w:autoSpaceDN/>
              <w:adjustRightInd/>
              <w:jc w:val="center"/>
              <w:rPr>
                <w:rFonts w:ascii="Calibri" w:hAnsi="Calibri" w:eastAsia="Times New Roman" w:cs="Calibri"/>
                <w:color w:val="000000"/>
                <w:sz w:val="22"/>
                <w:szCs w:val="22"/>
                <w:lang w:val="en-US" w:eastAsia="en-US"/>
              </w:rPr>
            </w:pPr>
          </w:p>
        </w:tc>
      </w:tr>
      <w:tr w14:paraId="112F9EEA">
        <w:tblPrEx>
          <w:tblCellMar>
            <w:top w:w="0" w:type="dxa"/>
            <w:left w:w="108" w:type="dxa"/>
            <w:bottom w:w="0" w:type="dxa"/>
            <w:right w:w="108" w:type="dxa"/>
          </w:tblCellMar>
        </w:tblPrEx>
        <w:trPr>
          <w:gridAfter w:val="1"/>
          <w:wAfter w:w="15" w:type="dxa"/>
          <w:trHeight w:val="258" w:hRule="atLeast"/>
        </w:trPr>
        <w:tc>
          <w:tcPr>
            <w:tcW w:w="569" w:type="dxa"/>
            <w:gridSpan w:val="2"/>
            <w:tcBorders>
              <w:top w:val="nil"/>
              <w:left w:val="nil"/>
              <w:bottom w:val="nil"/>
              <w:right w:val="nil"/>
            </w:tcBorders>
            <w:shd w:val="clear" w:color="auto" w:fill="auto"/>
            <w:noWrap/>
            <w:vAlign w:val="bottom"/>
          </w:tcPr>
          <w:p w14:paraId="1EBC93BB">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437C3A09">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0FCB4197">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039FFAED">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2B6A0B00">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1E34BB9F">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680E7436">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0D8D3754">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7D9040B8">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220FBD52">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50DEAA9C">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094408E1">
            <w:pPr>
              <w:widowControl/>
              <w:autoSpaceDE/>
              <w:autoSpaceDN/>
              <w:adjustRightInd/>
              <w:rPr>
                <w:rFonts w:eastAsia="Times New Roman"/>
                <w:sz w:val="20"/>
                <w:szCs w:val="20"/>
                <w:lang w:val="en-US" w:eastAsia="en-US"/>
              </w:rPr>
            </w:pPr>
          </w:p>
        </w:tc>
        <w:tc>
          <w:tcPr>
            <w:tcW w:w="694" w:type="dxa"/>
            <w:gridSpan w:val="4"/>
            <w:tcBorders>
              <w:top w:val="nil"/>
              <w:left w:val="nil"/>
              <w:bottom w:val="nil"/>
              <w:right w:val="nil"/>
            </w:tcBorders>
            <w:shd w:val="clear" w:color="auto" w:fill="auto"/>
            <w:noWrap/>
            <w:vAlign w:val="bottom"/>
          </w:tcPr>
          <w:p w14:paraId="121549ED">
            <w:pPr>
              <w:widowControl/>
              <w:autoSpaceDE/>
              <w:autoSpaceDN/>
              <w:adjustRightInd/>
              <w:rPr>
                <w:rFonts w:eastAsia="Times New Roman"/>
                <w:sz w:val="20"/>
                <w:szCs w:val="20"/>
                <w:lang w:val="en-US" w:eastAsia="en-US"/>
              </w:rPr>
            </w:pPr>
          </w:p>
        </w:tc>
        <w:tc>
          <w:tcPr>
            <w:tcW w:w="697" w:type="dxa"/>
            <w:gridSpan w:val="2"/>
            <w:tcBorders>
              <w:top w:val="nil"/>
              <w:left w:val="nil"/>
              <w:bottom w:val="nil"/>
              <w:right w:val="nil"/>
            </w:tcBorders>
            <w:shd w:val="clear" w:color="auto" w:fill="auto"/>
            <w:noWrap/>
            <w:vAlign w:val="bottom"/>
          </w:tcPr>
          <w:p w14:paraId="55C1C6B0">
            <w:pPr>
              <w:widowControl/>
              <w:autoSpaceDE/>
              <w:autoSpaceDN/>
              <w:adjustRightInd/>
              <w:rPr>
                <w:rFonts w:eastAsia="Times New Roman"/>
                <w:sz w:val="20"/>
                <w:szCs w:val="20"/>
                <w:lang w:val="en-US" w:eastAsia="en-US"/>
              </w:rPr>
            </w:pPr>
          </w:p>
        </w:tc>
        <w:tc>
          <w:tcPr>
            <w:tcW w:w="697" w:type="dxa"/>
            <w:gridSpan w:val="4"/>
            <w:tcBorders>
              <w:top w:val="nil"/>
              <w:left w:val="nil"/>
              <w:bottom w:val="nil"/>
              <w:right w:val="nil"/>
            </w:tcBorders>
            <w:shd w:val="clear" w:color="auto" w:fill="auto"/>
            <w:noWrap/>
            <w:vAlign w:val="bottom"/>
          </w:tcPr>
          <w:p w14:paraId="05F0339E">
            <w:pPr>
              <w:widowControl/>
              <w:autoSpaceDE/>
              <w:autoSpaceDN/>
              <w:adjustRightInd/>
              <w:rPr>
                <w:rFonts w:eastAsia="Times New Roman"/>
                <w:sz w:val="20"/>
                <w:szCs w:val="20"/>
                <w:lang w:val="en-US" w:eastAsia="en-US"/>
              </w:rPr>
            </w:pPr>
          </w:p>
        </w:tc>
        <w:tc>
          <w:tcPr>
            <w:tcW w:w="696" w:type="dxa"/>
            <w:tcBorders>
              <w:top w:val="nil"/>
              <w:left w:val="nil"/>
              <w:bottom w:val="nil"/>
              <w:right w:val="nil"/>
            </w:tcBorders>
            <w:shd w:val="clear" w:color="auto" w:fill="auto"/>
            <w:noWrap/>
            <w:vAlign w:val="bottom"/>
          </w:tcPr>
          <w:p w14:paraId="6AF8FA87">
            <w:pPr>
              <w:widowControl/>
              <w:autoSpaceDE/>
              <w:autoSpaceDN/>
              <w:adjustRightInd/>
              <w:rPr>
                <w:rFonts w:eastAsia="Times New Roman"/>
                <w:sz w:val="20"/>
                <w:szCs w:val="20"/>
                <w:lang w:val="en-US" w:eastAsia="en-US"/>
              </w:rPr>
            </w:pPr>
          </w:p>
        </w:tc>
        <w:tc>
          <w:tcPr>
            <w:tcW w:w="697" w:type="dxa"/>
            <w:gridSpan w:val="2"/>
            <w:tcBorders>
              <w:top w:val="nil"/>
              <w:left w:val="nil"/>
              <w:bottom w:val="nil"/>
              <w:right w:val="nil"/>
            </w:tcBorders>
            <w:shd w:val="clear" w:color="auto" w:fill="auto"/>
            <w:noWrap/>
            <w:vAlign w:val="bottom"/>
          </w:tcPr>
          <w:p w14:paraId="6CB00DD8">
            <w:pPr>
              <w:widowControl/>
              <w:autoSpaceDE/>
              <w:autoSpaceDN/>
              <w:adjustRightInd/>
              <w:rPr>
                <w:rFonts w:eastAsia="Times New Roman"/>
                <w:sz w:val="20"/>
                <w:szCs w:val="20"/>
                <w:lang w:val="en-US" w:eastAsia="en-US"/>
              </w:rPr>
            </w:pPr>
          </w:p>
        </w:tc>
        <w:tc>
          <w:tcPr>
            <w:tcW w:w="696" w:type="dxa"/>
            <w:tcBorders>
              <w:top w:val="nil"/>
              <w:left w:val="nil"/>
              <w:bottom w:val="nil"/>
              <w:right w:val="nil"/>
            </w:tcBorders>
            <w:shd w:val="clear" w:color="auto" w:fill="auto"/>
            <w:noWrap/>
            <w:vAlign w:val="bottom"/>
          </w:tcPr>
          <w:p w14:paraId="390FFA9A">
            <w:pPr>
              <w:widowControl/>
              <w:autoSpaceDE/>
              <w:autoSpaceDN/>
              <w:adjustRightInd/>
              <w:rPr>
                <w:rFonts w:eastAsia="Times New Roman"/>
                <w:sz w:val="20"/>
                <w:szCs w:val="20"/>
                <w:lang w:val="en-US" w:eastAsia="en-US"/>
              </w:rPr>
            </w:pPr>
          </w:p>
        </w:tc>
        <w:tc>
          <w:tcPr>
            <w:tcW w:w="571" w:type="dxa"/>
            <w:gridSpan w:val="2"/>
            <w:tcBorders>
              <w:top w:val="nil"/>
              <w:left w:val="nil"/>
              <w:bottom w:val="nil"/>
              <w:right w:val="nil"/>
            </w:tcBorders>
            <w:shd w:val="clear" w:color="auto" w:fill="auto"/>
            <w:noWrap/>
            <w:vAlign w:val="bottom"/>
          </w:tcPr>
          <w:p w14:paraId="350DA569">
            <w:pPr>
              <w:widowControl/>
              <w:autoSpaceDE/>
              <w:autoSpaceDN/>
              <w:adjustRightInd/>
              <w:rPr>
                <w:rFonts w:eastAsia="Times New Roman"/>
                <w:sz w:val="20"/>
                <w:szCs w:val="20"/>
                <w:lang w:val="en-US" w:eastAsia="en-US"/>
              </w:rPr>
            </w:pPr>
          </w:p>
        </w:tc>
        <w:tc>
          <w:tcPr>
            <w:tcW w:w="569" w:type="dxa"/>
            <w:tcBorders>
              <w:top w:val="nil"/>
              <w:left w:val="nil"/>
              <w:bottom w:val="nil"/>
              <w:right w:val="nil"/>
            </w:tcBorders>
            <w:shd w:val="clear" w:color="auto" w:fill="auto"/>
            <w:noWrap/>
            <w:vAlign w:val="bottom"/>
          </w:tcPr>
          <w:p w14:paraId="678F8136">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075CED2E">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1303BB28">
            <w:pPr>
              <w:widowControl/>
              <w:autoSpaceDE/>
              <w:autoSpaceDN/>
              <w:adjustRightInd/>
              <w:rPr>
                <w:rFonts w:eastAsia="Times New Roman"/>
                <w:sz w:val="20"/>
                <w:szCs w:val="20"/>
                <w:lang w:val="en-US" w:eastAsia="en-US"/>
              </w:rPr>
            </w:pPr>
          </w:p>
        </w:tc>
      </w:tr>
      <w:tr w14:paraId="40AED0F9">
        <w:tblPrEx>
          <w:tblCellMar>
            <w:top w:w="0" w:type="dxa"/>
            <w:left w:w="108" w:type="dxa"/>
            <w:bottom w:w="0" w:type="dxa"/>
            <w:right w:w="108" w:type="dxa"/>
          </w:tblCellMar>
        </w:tblPrEx>
        <w:trPr>
          <w:gridAfter w:val="1"/>
          <w:wAfter w:w="15" w:type="dxa"/>
          <w:trHeight w:val="258" w:hRule="atLeast"/>
        </w:trPr>
        <w:tc>
          <w:tcPr>
            <w:tcW w:w="569" w:type="dxa"/>
            <w:gridSpan w:val="2"/>
            <w:tcBorders>
              <w:top w:val="nil"/>
              <w:left w:val="nil"/>
              <w:bottom w:val="nil"/>
              <w:right w:val="nil"/>
            </w:tcBorders>
            <w:shd w:val="clear" w:color="auto" w:fill="auto"/>
            <w:noWrap/>
            <w:vAlign w:val="bottom"/>
          </w:tcPr>
          <w:p w14:paraId="6AF01F04">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18E2DC82">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52322B09">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69A9E0DE">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3524945E">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575CAD51">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1971EE18">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42C7D740">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07998580">
            <w:pPr>
              <w:widowControl/>
              <w:autoSpaceDE/>
              <w:autoSpaceDN/>
              <w:adjustRightInd/>
              <w:rPr>
                <w:rFonts w:eastAsia="Times New Roman"/>
                <w:sz w:val="20"/>
                <w:szCs w:val="20"/>
                <w:lang w:val="en-US" w:eastAsia="en-US"/>
              </w:rPr>
            </w:pPr>
          </w:p>
        </w:tc>
        <w:tc>
          <w:tcPr>
            <w:tcW w:w="569" w:type="dxa"/>
            <w:gridSpan w:val="3"/>
            <w:tcBorders>
              <w:top w:val="nil"/>
              <w:left w:val="nil"/>
              <w:bottom w:val="nil"/>
              <w:right w:val="nil"/>
            </w:tcBorders>
            <w:shd w:val="clear" w:color="auto" w:fill="auto"/>
            <w:noWrap/>
            <w:vAlign w:val="bottom"/>
          </w:tcPr>
          <w:p w14:paraId="27A32B69">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39C51F8E">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5A585E34">
            <w:pPr>
              <w:widowControl/>
              <w:autoSpaceDE/>
              <w:autoSpaceDN/>
              <w:adjustRightInd/>
              <w:rPr>
                <w:rFonts w:eastAsia="Times New Roman"/>
                <w:sz w:val="20"/>
                <w:szCs w:val="20"/>
                <w:lang w:val="en-US" w:eastAsia="en-US"/>
              </w:rPr>
            </w:pPr>
          </w:p>
        </w:tc>
        <w:tc>
          <w:tcPr>
            <w:tcW w:w="694" w:type="dxa"/>
            <w:gridSpan w:val="4"/>
            <w:tcBorders>
              <w:top w:val="nil"/>
              <w:left w:val="nil"/>
              <w:bottom w:val="nil"/>
              <w:right w:val="nil"/>
            </w:tcBorders>
            <w:shd w:val="clear" w:color="auto" w:fill="auto"/>
            <w:noWrap/>
            <w:vAlign w:val="bottom"/>
          </w:tcPr>
          <w:p w14:paraId="0B22E602">
            <w:pPr>
              <w:widowControl/>
              <w:autoSpaceDE/>
              <w:autoSpaceDN/>
              <w:adjustRightInd/>
              <w:rPr>
                <w:rFonts w:eastAsia="Times New Roman"/>
                <w:sz w:val="20"/>
                <w:szCs w:val="20"/>
                <w:lang w:val="en-US" w:eastAsia="en-US"/>
              </w:rPr>
            </w:pPr>
          </w:p>
        </w:tc>
        <w:tc>
          <w:tcPr>
            <w:tcW w:w="697" w:type="dxa"/>
            <w:gridSpan w:val="2"/>
            <w:tcBorders>
              <w:top w:val="nil"/>
              <w:left w:val="nil"/>
              <w:bottom w:val="nil"/>
              <w:right w:val="nil"/>
            </w:tcBorders>
            <w:shd w:val="clear" w:color="auto" w:fill="auto"/>
            <w:noWrap/>
            <w:vAlign w:val="bottom"/>
          </w:tcPr>
          <w:p w14:paraId="54DE8A88">
            <w:pPr>
              <w:widowControl/>
              <w:autoSpaceDE/>
              <w:autoSpaceDN/>
              <w:adjustRightInd/>
              <w:rPr>
                <w:rFonts w:eastAsia="Times New Roman"/>
                <w:sz w:val="20"/>
                <w:szCs w:val="20"/>
                <w:lang w:val="en-US" w:eastAsia="en-US"/>
              </w:rPr>
            </w:pPr>
          </w:p>
        </w:tc>
        <w:tc>
          <w:tcPr>
            <w:tcW w:w="697" w:type="dxa"/>
            <w:gridSpan w:val="4"/>
            <w:tcBorders>
              <w:top w:val="nil"/>
              <w:left w:val="nil"/>
              <w:bottom w:val="nil"/>
              <w:right w:val="nil"/>
            </w:tcBorders>
            <w:shd w:val="clear" w:color="auto" w:fill="auto"/>
            <w:noWrap/>
            <w:vAlign w:val="bottom"/>
          </w:tcPr>
          <w:p w14:paraId="787558E5">
            <w:pPr>
              <w:widowControl/>
              <w:autoSpaceDE/>
              <w:autoSpaceDN/>
              <w:adjustRightInd/>
              <w:rPr>
                <w:rFonts w:eastAsia="Times New Roman"/>
                <w:sz w:val="20"/>
                <w:szCs w:val="20"/>
                <w:lang w:val="en-US" w:eastAsia="en-US"/>
              </w:rPr>
            </w:pPr>
          </w:p>
        </w:tc>
        <w:tc>
          <w:tcPr>
            <w:tcW w:w="696" w:type="dxa"/>
            <w:tcBorders>
              <w:top w:val="nil"/>
              <w:left w:val="nil"/>
              <w:bottom w:val="nil"/>
              <w:right w:val="nil"/>
            </w:tcBorders>
            <w:shd w:val="clear" w:color="auto" w:fill="auto"/>
            <w:noWrap/>
            <w:vAlign w:val="bottom"/>
          </w:tcPr>
          <w:p w14:paraId="48E0530F">
            <w:pPr>
              <w:widowControl/>
              <w:autoSpaceDE/>
              <w:autoSpaceDN/>
              <w:adjustRightInd/>
              <w:rPr>
                <w:rFonts w:eastAsia="Times New Roman"/>
                <w:sz w:val="20"/>
                <w:szCs w:val="20"/>
                <w:lang w:val="en-US" w:eastAsia="en-US"/>
              </w:rPr>
            </w:pPr>
          </w:p>
        </w:tc>
        <w:tc>
          <w:tcPr>
            <w:tcW w:w="697" w:type="dxa"/>
            <w:gridSpan w:val="2"/>
            <w:tcBorders>
              <w:top w:val="nil"/>
              <w:left w:val="nil"/>
              <w:bottom w:val="nil"/>
              <w:right w:val="nil"/>
            </w:tcBorders>
            <w:shd w:val="clear" w:color="auto" w:fill="auto"/>
            <w:noWrap/>
            <w:vAlign w:val="bottom"/>
          </w:tcPr>
          <w:p w14:paraId="60DF48AE">
            <w:pPr>
              <w:widowControl/>
              <w:autoSpaceDE/>
              <w:autoSpaceDN/>
              <w:adjustRightInd/>
              <w:rPr>
                <w:rFonts w:eastAsia="Times New Roman"/>
                <w:sz w:val="20"/>
                <w:szCs w:val="20"/>
                <w:lang w:val="en-US" w:eastAsia="en-US"/>
              </w:rPr>
            </w:pPr>
          </w:p>
        </w:tc>
        <w:tc>
          <w:tcPr>
            <w:tcW w:w="696" w:type="dxa"/>
            <w:tcBorders>
              <w:top w:val="nil"/>
              <w:left w:val="nil"/>
              <w:bottom w:val="nil"/>
              <w:right w:val="nil"/>
            </w:tcBorders>
            <w:shd w:val="clear" w:color="auto" w:fill="auto"/>
            <w:noWrap/>
            <w:vAlign w:val="bottom"/>
          </w:tcPr>
          <w:p w14:paraId="70F41A11">
            <w:pPr>
              <w:widowControl/>
              <w:autoSpaceDE/>
              <w:autoSpaceDN/>
              <w:adjustRightInd/>
              <w:rPr>
                <w:rFonts w:eastAsia="Times New Roman"/>
                <w:sz w:val="20"/>
                <w:szCs w:val="20"/>
                <w:lang w:val="en-US" w:eastAsia="en-US"/>
              </w:rPr>
            </w:pPr>
          </w:p>
        </w:tc>
        <w:tc>
          <w:tcPr>
            <w:tcW w:w="571" w:type="dxa"/>
            <w:gridSpan w:val="2"/>
            <w:tcBorders>
              <w:top w:val="nil"/>
              <w:left w:val="nil"/>
              <w:bottom w:val="nil"/>
              <w:right w:val="nil"/>
            </w:tcBorders>
            <w:shd w:val="clear" w:color="auto" w:fill="auto"/>
            <w:noWrap/>
            <w:vAlign w:val="bottom"/>
          </w:tcPr>
          <w:p w14:paraId="5F98FCBA">
            <w:pPr>
              <w:widowControl/>
              <w:autoSpaceDE/>
              <w:autoSpaceDN/>
              <w:adjustRightInd/>
              <w:rPr>
                <w:rFonts w:eastAsia="Times New Roman"/>
                <w:sz w:val="20"/>
                <w:szCs w:val="20"/>
                <w:lang w:val="en-US" w:eastAsia="en-US"/>
              </w:rPr>
            </w:pPr>
          </w:p>
        </w:tc>
        <w:tc>
          <w:tcPr>
            <w:tcW w:w="569" w:type="dxa"/>
            <w:tcBorders>
              <w:top w:val="nil"/>
              <w:left w:val="nil"/>
              <w:bottom w:val="nil"/>
              <w:right w:val="nil"/>
            </w:tcBorders>
            <w:shd w:val="clear" w:color="auto" w:fill="auto"/>
            <w:noWrap/>
            <w:vAlign w:val="bottom"/>
          </w:tcPr>
          <w:p w14:paraId="0B2463D5">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0E16AA50">
            <w:pPr>
              <w:widowControl/>
              <w:autoSpaceDE/>
              <w:autoSpaceDN/>
              <w:adjustRightInd/>
              <w:rPr>
                <w:rFonts w:eastAsia="Times New Roman"/>
                <w:sz w:val="20"/>
                <w:szCs w:val="20"/>
                <w:lang w:val="en-US" w:eastAsia="en-US"/>
              </w:rPr>
            </w:pPr>
          </w:p>
        </w:tc>
        <w:tc>
          <w:tcPr>
            <w:tcW w:w="569" w:type="dxa"/>
            <w:gridSpan w:val="2"/>
            <w:tcBorders>
              <w:top w:val="nil"/>
              <w:left w:val="nil"/>
              <w:bottom w:val="nil"/>
              <w:right w:val="nil"/>
            </w:tcBorders>
            <w:shd w:val="clear" w:color="auto" w:fill="auto"/>
            <w:noWrap/>
            <w:vAlign w:val="bottom"/>
          </w:tcPr>
          <w:p w14:paraId="169080ED">
            <w:pPr>
              <w:widowControl/>
              <w:autoSpaceDE/>
              <w:autoSpaceDN/>
              <w:adjustRightInd/>
              <w:rPr>
                <w:rFonts w:eastAsia="Times New Roman"/>
                <w:sz w:val="20"/>
                <w:szCs w:val="20"/>
                <w:lang w:val="en-US" w:eastAsia="en-US"/>
              </w:rPr>
            </w:pPr>
          </w:p>
        </w:tc>
      </w:tr>
      <w:tr w14:paraId="5079E699">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C0C0C0"/>
            <w:noWrap/>
            <w:vAlign w:val="bottom"/>
          </w:tcPr>
          <w:p w14:paraId="0D93C83C">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Račun / opis</w:t>
            </w:r>
          </w:p>
        </w:tc>
        <w:tc>
          <w:tcPr>
            <w:tcW w:w="1394" w:type="dxa"/>
            <w:gridSpan w:val="6"/>
            <w:tcBorders>
              <w:top w:val="nil"/>
              <w:left w:val="nil"/>
              <w:bottom w:val="nil"/>
              <w:right w:val="nil"/>
            </w:tcBorders>
            <w:shd w:val="clear" w:color="000000" w:fill="C0C0C0"/>
            <w:noWrap/>
            <w:vAlign w:val="bottom"/>
          </w:tcPr>
          <w:p w14:paraId="79756F3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2023.</w:t>
            </w:r>
          </w:p>
        </w:tc>
        <w:tc>
          <w:tcPr>
            <w:tcW w:w="1394" w:type="dxa"/>
            <w:gridSpan w:val="5"/>
            <w:tcBorders>
              <w:top w:val="nil"/>
              <w:left w:val="nil"/>
              <w:bottom w:val="nil"/>
              <w:right w:val="nil"/>
            </w:tcBorders>
            <w:shd w:val="clear" w:color="000000" w:fill="C0C0C0"/>
            <w:noWrap/>
            <w:vAlign w:val="bottom"/>
          </w:tcPr>
          <w:p w14:paraId="2938DE3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Izvorni plan/rebalans 2024.</w:t>
            </w:r>
          </w:p>
        </w:tc>
        <w:tc>
          <w:tcPr>
            <w:tcW w:w="1394" w:type="dxa"/>
            <w:gridSpan w:val="3"/>
            <w:tcBorders>
              <w:top w:val="nil"/>
              <w:left w:val="nil"/>
              <w:bottom w:val="nil"/>
              <w:right w:val="nil"/>
            </w:tcBorders>
            <w:shd w:val="clear" w:color="000000" w:fill="C0C0C0"/>
            <w:noWrap/>
            <w:vAlign w:val="bottom"/>
          </w:tcPr>
          <w:p w14:paraId="05B184E1">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2024.</w:t>
            </w:r>
          </w:p>
        </w:tc>
        <w:tc>
          <w:tcPr>
            <w:tcW w:w="1139" w:type="dxa"/>
            <w:gridSpan w:val="3"/>
            <w:tcBorders>
              <w:top w:val="nil"/>
              <w:left w:val="nil"/>
              <w:bottom w:val="nil"/>
              <w:right w:val="nil"/>
            </w:tcBorders>
            <w:shd w:val="clear" w:color="000000" w:fill="C0C0C0"/>
            <w:noWrap/>
            <w:vAlign w:val="bottom"/>
          </w:tcPr>
          <w:p w14:paraId="06435541">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3/1</w:t>
            </w:r>
          </w:p>
        </w:tc>
        <w:tc>
          <w:tcPr>
            <w:tcW w:w="1141" w:type="dxa"/>
            <w:gridSpan w:val="4"/>
            <w:tcBorders>
              <w:top w:val="nil"/>
              <w:left w:val="nil"/>
              <w:bottom w:val="nil"/>
              <w:right w:val="nil"/>
            </w:tcBorders>
            <w:shd w:val="clear" w:color="000000" w:fill="C0C0C0"/>
            <w:noWrap/>
            <w:vAlign w:val="bottom"/>
          </w:tcPr>
          <w:p w14:paraId="602A43DA">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3/2</w:t>
            </w:r>
          </w:p>
        </w:tc>
      </w:tr>
      <w:tr w14:paraId="6939EE0A">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C0C0C0"/>
            <w:noWrap/>
            <w:vAlign w:val="bottom"/>
          </w:tcPr>
          <w:p w14:paraId="6F9064B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PRIHODI I RASHODI PREMA IZVORIMA FINANCIRANJA</w:t>
            </w:r>
          </w:p>
        </w:tc>
        <w:tc>
          <w:tcPr>
            <w:tcW w:w="1394" w:type="dxa"/>
            <w:gridSpan w:val="6"/>
            <w:tcBorders>
              <w:top w:val="nil"/>
              <w:left w:val="nil"/>
              <w:bottom w:val="nil"/>
              <w:right w:val="nil"/>
            </w:tcBorders>
            <w:shd w:val="clear" w:color="000000" w:fill="C0C0C0"/>
            <w:noWrap/>
            <w:vAlign w:val="bottom"/>
          </w:tcPr>
          <w:p w14:paraId="11744787">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w:t>
            </w:r>
          </w:p>
        </w:tc>
        <w:tc>
          <w:tcPr>
            <w:tcW w:w="1394" w:type="dxa"/>
            <w:gridSpan w:val="5"/>
            <w:tcBorders>
              <w:top w:val="nil"/>
              <w:left w:val="nil"/>
              <w:bottom w:val="nil"/>
              <w:right w:val="nil"/>
            </w:tcBorders>
            <w:shd w:val="clear" w:color="000000" w:fill="C0C0C0"/>
            <w:noWrap/>
            <w:vAlign w:val="bottom"/>
          </w:tcPr>
          <w:p w14:paraId="34E8BC8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w:t>
            </w:r>
          </w:p>
        </w:tc>
        <w:tc>
          <w:tcPr>
            <w:tcW w:w="1394" w:type="dxa"/>
            <w:gridSpan w:val="3"/>
            <w:tcBorders>
              <w:top w:val="nil"/>
              <w:left w:val="nil"/>
              <w:bottom w:val="nil"/>
              <w:right w:val="nil"/>
            </w:tcBorders>
            <w:shd w:val="clear" w:color="000000" w:fill="C0C0C0"/>
            <w:noWrap/>
            <w:vAlign w:val="bottom"/>
          </w:tcPr>
          <w:p w14:paraId="5F94EFD0">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w:t>
            </w:r>
          </w:p>
        </w:tc>
        <w:tc>
          <w:tcPr>
            <w:tcW w:w="1139" w:type="dxa"/>
            <w:gridSpan w:val="3"/>
            <w:tcBorders>
              <w:top w:val="nil"/>
              <w:left w:val="nil"/>
              <w:bottom w:val="nil"/>
              <w:right w:val="nil"/>
            </w:tcBorders>
            <w:shd w:val="clear" w:color="000000" w:fill="C0C0C0"/>
            <w:noWrap/>
            <w:vAlign w:val="bottom"/>
          </w:tcPr>
          <w:p w14:paraId="6FC0F2EC">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w:t>
            </w:r>
          </w:p>
        </w:tc>
        <w:tc>
          <w:tcPr>
            <w:tcW w:w="1141" w:type="dxa"/>
            <w:gridSpan w:val="4"/>
            <w:tcBorders>
              <w:top w:val="nil"/>
              <w:left w:val="nil"/>
              <w:bottom w:val="nil"/>
              <w:right w:val="nil"/>
            </w:tcBorders>
            <w:shd w:val="clear" w:color="000000" w:fill="C0C0C0"/>
            <w:noWrap/>
            <w:vAlign w:val="bottom"/>
          </w:tcPr>
          <w:p w14:paraId="58344B4F">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w:t>
            </w:r>
          </w:p>
        </w:tc>
      </w:tr>
      <w:tr w14:paraId="65069E94">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808080"/>
            <w:noWrap/>
            <w:vAlign w:val="bottom"/>
          </w:tcPr>
          <w:p w14:paraId="6E6DD563">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xml:space="preserve"> SVEUKUPNI PRIHODI</w:t>
            </w:r>
          </w:p>
        </w:tc>
        <w:tc>
          <w:tcPr>
            <w:tcW w:w="1394" w:type="dxa"/>
            <w:gridSpan w:val="6"/>
            <w:tcBorders>
              <w:top w:val="nil"/>
              <w:left w:val="nil"/>
              <w:bottom w:val="nil"/>
              <w:right w:val="nil"/>
            </w:tcBorders>
            <w:shd w:val="clear" w:color="000000" w:fill="808080"/>
            <w:noWrap/>
            <w:vAlign w:val="bottom"/>
          </w:tcPr>
          <w:p w14:paraId="06A03C6A">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1.419.513,99</w:t>
            </w:r>
          </w:p>
        </w:tc>
        <w:tc>
          <w:tcPr>
            <w:tcW w:w="1394" w:type="dxa"/>
            <w:gridSpan w:val="5"/>
            <w:tcBorders>
              <w:top w:val="nil"/>
              <w:left w:val="nil"/>
              <w:bottom w:val="nil"/>
              <w:right w:val="nil"/>
            </w:tcBorders>
            <w:shd w:val="clear" w:color="000000" w:fill="808080"/>
            <w:noWrap/>
            <w:vAlign w:val="bottom"/>
          </w:tcPr>
          <w:p w14:paraId="4C3A7551">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2.247.712,29</w:t>
            </w:r>
          </w:p>
        </w:tc>
        <w:tc>
          <w:tcPr>
            <w:tcW w:w="1394" w:type="dxa"/>
            <w:gridSpan w:val="3"/>
            <w:tcBorders>
              <w:top w:val="nil"/>
              <w:left w:val="nil"/>
              <w:bottom w:val="nil"/>
              <w:right w:val="nil"/>
            </w:tcBorders>
            <w:shd w:val="clear" w:color="000000" w:fill="808080"/>
            <w:noWrap/>
            <w:vAlign w:val="bottom"/>
          </w:tcPr>
          <w:p w14:paraId="79B370D9">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2.184.445,60</w:t>
            </w:r>
          </w:p>
        </w:tc>
        <w:tc>
          <w:tcPr>
            <w:tcW w:w="1139" w:type="dxa"/>
            <w:gridSpan w:val="3"/>
            <w:tcBorders>
              <w:top w:val="nil"/>
              <w:left w:val="nil"/>
              <w:bottom w:val="nil"/>
              <w:right w:val="nil"/>
            </w:tcBorders>
            <w:shd w:val="clear" w:color="000000" w:fill="808080"/>
            <w:noWrap/>
            <w:vAlign w:val="bottom"/>
          </w:tcPr>
          <w:p w14:paraId="73FD3F85">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153,89%</w:t>
            </w:r>
          </w:p>
        </w:tc>
        <w:tc>
          <w:tcPr>
            <w:tcW w:w="1141" w:type="dxa"/>
            <w:gridSpan w:val="4"/>
            <w:tcBorders>
              <w:top w:val="nil"/>
              <w:left w:val="nil"/>
              <w:bottom w:val="nil"/>
              <w:right w:val="nil"/>
            </w:tcBorders>
            <w:shd w:val="clear" w:color="000000" w:fill="808080"/>
            <w:noWrap/>
            <w:vAlign w:val="bottom"/>
          </w:tcPr>
          <w:p w14:paraId="557AD9E9">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97,19%</w:t>
            </w:r>
          </w:p>
        </w:tc>
      </w:tr>
      <w:tr w14:paraId="3701F759">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00"/>
            <w:noWrap/>
            <w:vAlign w:val="bottom"/>
          </w:tcPr>
          <w:p w14:paraId="49FE72E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1. Opći prihodi i primici</w:t>
            </w:r>
          </w:p>
        </w:tc>
        <w:tc>
          <w:tcPr>
            <w:tcW w:w="1394" w:type="dxa"/>
            <w:gridSpan w:val="6"/>
            <w:tcBorders>
              <w:top w:val="nil"/>
              <w:left w:val="nil"/>
              <w:bottom w:val="nil"/>
              <w:right w:val="nil"/>
            </w:tcBorders>
            <w:shd w:val="clear" w:color="000000" w:fill="FFFF00"/>
            <w:noWrap/>
            <w:vAlign w:val="bottom"/>
          </w:tcPr>
          <w:p w14:paraId="418BBBC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1.188,10</w:t>
            </w:r>
          </w:p>
        </w:tc>
        <w:tc>
          <w:tcPr>
            <w:tcW w:w="1394" w:type="dxa"/>
            <w:gridSpan w:val="5"/>
            <w:tcBorders>
              <w:top w:val="nil"/>
              <w:left w:val="nil"/>
              <w:bottom w:val="nil"/>
              <w:right w:val="nil"/>
            </w:tcBorders>
            <w:shd w:val="clear" w:color="000000" w:fill="FFFF00"/>
            <w:noWrap/>
            <w:vAlign w:val="bottom"/>
          </w:tcPr>
          <w:p w14:paraId="28B068D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394" w:type="dxa"/>
            <w:gridSpan w:val="3"/>
            <w:tcBorders>
              <w:top w:val="nil"/>
              <w:left w:val="nil"/>
              <w:bottom w:val="nil"/>
              <w:right w:val="nil"/>
            </w:tcBorders>
            <w:shd w:val="clear" w:color="000000" w:fill="FFFF00"/>
            <w:noWrap/>
            <w:vAlign w:val="bottom"/>
          </w:tcPr>
          <w:p w14:paraId="12B1B60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139" w:type="dxa"/>
            <w:gridSpan w:val="3"/>
            <w:tcBorders>
              <w:top w:val="nil"/>
              <w:left w:val="nil"/>
              <w:bottom w:val="nil"/>
              <w:right w:val="nil"/>
            </w:tcBorders>
            <w:shd w:val="clear" w:color="000000" w:fill="FFFF00"/>
            <w:noWrap/>
            <w:vAlign w:val="bottom"/>
          </w:tcPr>
          <w:p w14:paraId="46A0E27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192,03%</w:t>
            </w:r>
          </w:p>
        </w:tc>
        <w:tc>
          <w:tcPr>
            <w:tcW w:w="1141" w:type="dxa"/>
            <w:gridSpan w:val="4"/>
            <w:tcBorders>
              <w:top w:val="nil"/>
              <w:left w:val="nil"/>
              <w:bottom w:val="nil"/>
              <w:right w:val="nil"/>
            </w:tcBorders>
            <w:shd w:val="clear" w:color="000000" w:fill="FFFF00"/>
            <w:noWrap/>
            <w:vAlign w:val="bottom"/>
          </w:tcPr>
          <w:p w14:paraId="251BCFD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1D1FB50A">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617AF5A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1.1. Opći prihodi i primici</w:t>
            </w:r>
          </w:p>
        </w:tc>
        <w:tc>
          <w:tcPr>
            <w:tcW w:w="1394" w:type="dxa"/>
            <w:gridSpan w:val="6"/>
            <w:tcBorders>
              <w:top w:val="nil"/>
              <w:left w:val="nil"/>
              <w:bottom w:val="nil"/>
              <w:right w:val="nil"/>
            </w:tcBorders>
            <w:shd w:val="clear" w:color="000000" w:fill="FFFF99"/>
            <w:noWrap/>
            <w:vAlign w:val="bottom"/>
          </w:tcPr>
          <w:p w14:paraId="452F368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1.188,10</w:t>
            </w:r>
          </w:p>
        </w:tc>
        <w:tc>
          <w:tcPr>
            <w:tcW w:w="1394" w:type="dxa"/>
            <w:gridSpan w:val="5"/>
            <w:tcBorders>
              <w:top w:val="nil"/>
              <w:left w:val="nil"/>
              <w:bottom w:val="nil"/>
              <w:right w:val="nil"/>
            </w:tcBorders>
            <w:shd w:val="clear" w:color="000000" w:fill="FFFF99"/>
            <w:noWrap/>
            <w:vAlign w:val="bottom"/>
          </w:tcPr>
          <w:p w14:paraId="3F4C971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394" w:type="dxa"/>
            <w:gridSpan w:val="3"/>
            <w:tcBorders>
              <w:top w:val="nil"/>
              <w:left w:val="nil"/>
              <w:bottom w:val="nil"/>
              <w:right w:val="nil"/>
            </w:tcBorders>
            <w:shd w:val="clear" w:color="000000" w:fill="FFFF99"/>
            <w:noWrap/>
            <w:vAlign w:val="bottom"/>
          </w:tcPr>
          <w:p w14:paraId="784E0FD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139" w:type="dxa"/>
            <w:gridSpan w:val="3"/>
            <w:tcBorders>
              <w:top w:val="nil"/>
              <w:left w:val="nil"/>
              <w:bottom w:val="nil"/>
              <w:right w:val="nil"/>
            </w:tcBorders>
            <w:shd w:val="clear" w:color="000000" w:fill="FFFF99"/>
            <w:noWrap/>
            <w:vAlign w:val="bottom"/>
          </w:tcPr>
          <w:p w14:paraId="65C2C94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192,03%</w:t>
            </w:r>
          </w:p>
        </w:tc>
        <w:tc>
          <w:tcPr>
            <w:tcW w:w="1141" w:type="dxa"/>
            <w:gridSpan w:val="4"/>
            <w:tcBorders>
              <w:top w:val="nil"/>
              <w:left w:val="nil"/>
              <w:bottom w:val="nil"/>
              <w:right w:val="nil"/>
            </w:tcBorders>
            <w:shd w:val="clear" w:color="000000" w:fill="FFFF99"/>
            <w:noWrap/>
            <w:vAlign w:val="bottom"/>
          </w:tcPr>
          <w:p w14:paraId="7CB093B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787DC685">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00"/>
            <w:noWrap/>
            <w:vAlign w:val="bottom"/>
          </w:tcPr>
          <w:p w14:paraId="6471074A">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 Prihodi za posebne namjene</w:t>
            </w:r>
          </w:p>
        </w:tc>
        <w:tc>
          <w:tcPr>
            <w:tcW w:w="1394" w:type="dxa"/>
            <w:gridSpan w:val="6"/>
            <w:tcBorders>
              <w:top w:val="nil"/>
              <w:left w:val="nil"/>
              <w:bottom w:val="nil"/>
              <w:right w:val="nil"/>
            </w:tcBorders>
            <w:shd w:val="clear" w:color="000000" w:fill="FFFF00"/>
            <w:noWrap/>
            <w:vAlign w:val="bottom"/>
          </w:tcPr>
          <w:p w14:paraId="5F3186B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1.418.325,89</w:t>
            </w:r>
          </w:p>
        </w:tc>
        <w:tc>
          <w:tcPr>
            <w:tcW w:w="1394" w:type="dxa"/>
            <w:gridSpan w:val="5"/>
            <w:tcBorders>
              <w:top w:val="nil"/>
              <w:left w:val="nil"/>
              <w:bottom w:val="nil"/>
              <w:right w:val="nil"/>
            </w:tcBorders>
            <w:shd w:val="clear" w:color="000000" w:fill="FFFF00"/>
            <w:noWrap/>
            <w:vAlign w:val="bottom"/>
          </w:tcPr>
          <w:p w14:paraId="0A0AC6D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2.245.430,74</w:t>
            </w:r>
          </w:p>
        </w:tc>
        <w:tc>
          <w:tcPr>
            <w:tcW w:w="1394" w:type="dxa"/>
            <w:gridSpan w:val="3"/>
            <w:tcBorders>
              <w:top w:val="nil"/>
              <w:left w:val="nil"/>
              <w:bottom w:val="nil"/>
              <w:right w:val="nil"/>
            </w:tcBorders>
            <w:shd w:val="clear" w:color="000000" w:fill="FFFF00"/>
            <w:noWrap/>
            <w:vAlign w:val="bottom"/>
          </w:tcPr>
          <w:p w14:paraId="5A7C140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2.182.164,05</w:t>
            </w:r>
          </w:p>
        </w:tc>
        <w:tc>
          <w:tcPr>
            <w:tcW w:w="1139" w:type="dxa"/>
            <w:gridSpan w:val="3"/>
            <w:tcBorders>
              <w:top w:val="nil"/>
              <w:left w:val="nil"/>
              <w:bottom w:val="nil"/>
              <w:right w:val="nil"/>
            </w:tcBorders>
            <w:shd w:val="clear" w:color="000000" w:fill="FFFF00"/>
            <w:noWrap/>
            <w:vAlign w:val="bottom"/>
          </w:tcPr>
          <w:p w14:paraId="651A3C0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153,85%</w:t>
            </w:r>
          </w:p>
        </w:tc>
        <w:tc>
          <w:tcPr>
            <w:tcW w:w="1141" w:type="dxa"/>
            <w:gridSpan w:val="4"/>
            <w:tcBorders>
              <w:top w:val="nil"/>
              <w:left w:val="nil"/>
              <w:bottom w:val="nil"/>
              <w:right w:val="nil"/>
            </w:tcBorders>
            <w:shd w:val="clear" w:color="000000" w:fill="FFFF00"/>
            <w:noWrap/>
            <w:vAlign w:val="bottom"/>
          </w:tcPr>
          <w:p w14:paraId="3A7D6AF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97,18%</w:t>
            </w:r>
          </w:p>
        </w:tc>
      </w:tr>
      <w:tr w14:paraId="6422787C">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0C35C40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4.8. Decentralizirana sredstva</w:t>
            </w:r>
          </w:p>
        </w:tc>
        <w:tc>
          <w:tcPr>
            <w:tcW w:w="1394" w:type="dxa"/>
            <w:gridSpan w:val="6"/>
            <w:tcBorders>
              <w:top w:val="nil"/>
              <w:left w:val="nil"/>
              <w:bottom w:val="nil"/>
              <w:right w:val="nil"/>
            </w:tcBorders>
            <w:shd w:val="clear" w:color="000000" w:fill="FFFF99"/>
            <w:noWrap/>
            <w:vAlign w:val="bottom"/>
          </w:tcPr>
          <w:p w14:paraId="05ADB64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62.499,46</w:t>
            </w:r>
          </w:p>
        </w:tc>
        <w:tc>
          <w:tcPr>
            <w:tcW w:w="1394" w:type="dxa"/>
            <w:gridSpan w:val="5"/>
            <w:tcBorders>
              <w:top w:val="nil"/>
              <w:left w:val="nil"/>
              <w:bottom w:val="nil"/>
              <w:right w:val="nil"/>
            </w:tcBorders>
            <w:shd w:val="clear" w:color="000000" w:fill="FFFF99"/>
            <w:noWrap/>
            <w:vAlign w:val="bottom"/>
          </w:tcPr>
          <w:p w14:paraId="7436A00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127.382,25</w:t>
            </w:r>
          </w:p>
        </w:tc>
        <w:tc>
          <w:tcPr>
            <w:tcW w:w="1394" w:type="dxa"/>
            <w:gridSpan w:val="3"/>
            <w:tcBorders>
              <w:top w:val="nil"/>
              <w:left w:val="nil"/>
              <w:bottom w:val="nil"/>
              <w:right w:val="nil"/>
            </w:tcBorders>
            <w:shd w:val="clear" w:color="000000" w:fill="FFFF99"/>
            <w:noWrap/>
            <w:vAlign w:val="bottom"/>
          </w:tcPr>
          <w:p w14:paraId="6EA6FFE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126.891,77</w:t>
            </w:r>
          </w:p>
        </w:tc>
        <w:tc>
          <w:tcPr>
            <w:tcW w:w="1139" w:type="dxa"/>
            <w:gridSpan w:val="3"/>
            <w:tcBorders>
              <w:top w:val="nil"/>
              <w:left w:val="nil"/>
              <w:bottom w:val="nil"/>
              <w:right w:val="nil"/>
            </w:tcBorders>
            <w:shd w:val="clear" w:color="000000" w:fill="FFFF99"/>
            <w:noWrap/>
            <w:vAlign w:val="bottom"/>
          </w:tcPr>
          <w:p w14:paraId="17B3C0B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203,03%</w:t>
            </w:r>
          </w:p>
        </w:tc>
        <w:tc>
          <w:tcPr>
            <w:tcW w:w="1141" w:type="dxa"/>
            <w:gridSpan w:val="4"/>
            <w:tcBorders>
              <w:top w:val="nil"/>
              <w:left w:val="nil"/>
              <w:bottom w:val="nil"/>
              <w:right w:val="nil"/>
            </w:tcBorders>
            <w:shd w:val="clear" w:color="000000" w:fill="FFFF99"/>
            <w:noWrap/>
            <w:vAlign w:val="bottom"/>
          </w:tcPr>
          <w:p w14:paraId="65F431A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99,61%</w:t>
            </w:r>
          </w:p>
        </w:tc>
      </w:tr>
      <w:tr w14:paraId="551F67C2">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1975278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4.9. Vlastiti i namjenski prihodi proračunskih korisnika</w:t>
            </w:r>
          </w:p>
        </w:tc>
        <w:tc>
          <w:tcPr>
            <w:tcW w:w="1394" w:type="dxa"/>
            <w:gridSpan w:val="6"/>
            <w:tcBorders>
              <w:top w:val="nil"/>
              <w:left w:val="nil"/>
              <w:bottom w:val="nil"/>
              <w:right w:val="nil"/>
            </w:tcBorders>
            <w:shd w:val="clear" w:color="000000" w:fill="FFFF99"/>
            <w:noWrap/>
            <w:vAlign w:val="bottom"/>
          </w:tcPr>
          <w:p w14:paraId="3E7B4BC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1.355.826,43</w:t>
            </w:r>
          </w:p>
        </w:tc>
        <w:tc>
          <w:tcPr>
            <w:tcW w:w="1394" w:type="dxa"/>
            <w:gridSpan w:val="5"/>
            <w:tcBorders>
              <w:top w:val="nil"/>
              <w:left w:val="nil"/>
              <w:bottom w:val="nil"/>
              <w:right w:val="nil"/>
            </w:tcBorders>
            <w:shd w:val="clear" w:color="000000" w:fill="FFFF99"/>
            <w:noWrap/>
            <w:vAlign w:val="bottom"/>
          </w:tcPr>
          <w:p w14:paraId="1B15E47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2.118.048,49</w:t>
            </w:r>
          </w:p>
        </w:tc>
        <w:tc>
          <w:tcPr>
            <w:tcW w:w="1394" w:type="dxa"/>
            <w:gridSpan w:val="3"/>
            <w:tcBorders>
              <w:top w:val="nil"/>
              <w:left w:val="nil"/>
              <w:bottom w:val="nil"/>
              <w:right w:val="nil"/>
            </w:tcBorders>
            <w:shd w:val="clear" w:color="000000" w:fill="FFFF99"/>
            <w:noWrap/>
            <w:vAlign w:val="bottom"/>
          </w:tcPr>
          <w:p w14:paraId="31E94E7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2.055.272,28</w:t>
            </w:r>
          </w:p>
        </w:tc>
        <w:tc>
          <w:tcPr>
            <w:tcW w:w="1139" w:type="dxa"/>
            <w:gridSpan w:val="3"/>
            <w:tcBorders>
              <w:top w:val="nil"/>
              <w:left w:val="nil"/>
              <w:bottom w:val="nil"/>
              <w:right w:val="nil"/>
            </w:tcBorders>
            <w:shd w:val="clear" w:color="000000" w:fill="FFFF99"/>
            <w:noWrap/>
            <w:vAlign w:val="bottom"/>
          </w:tcPr>
          <w:p w14:paraId="5E730FE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151,59%</w:t>
            </w:r>
          </w:p>
        </w:tc>
        <w:tc>
          <w:tcPr>
            <w:tcW w:w="1141" w:type="dxa"/>
            <w:gridSpan w:val="4"/>
            <w:tcBorders>
              <w:top w:val="nil"/>
              <w:left w:val="nil"/>
              <w:bottom w:val="nil"/>
              <w:right w:val="nil"/>
            </w:tcBorders>
            <w:shd w:val="clear" w:color="000000" w:fill="FFFF99"/>
            <w:noWrap/>
            <w:vAlign w:val="bottom"/>
          </w:tcPr>
          <w:p w14:paraId="7F35FC5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97,04%</w:t>
            </w:r>
          </w:p>
        </w:tc>
      </w:tr>
      <w:tr w14:paraId="60D4CB13">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auto" w:fill="auto"/>
            <w:noWrap/>
            <w:vAlign w:val="bottom"/>
          </w:tcPr>
          <w:p w14:paraId="30DC4D9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394" w:type="dxa"/>
            <w:gridSpan w:val="6"/>
            <w:tcBorders>
              <w:top w:val="nil"/>
              <w:left w:val="nil"/>
              <w:bottom w:val="nil"/>
              <w:right w:val="nil"/>
            </w:tcBorders>
            <w:shd w:val="clear" w:color="auto" w:fill="auto"/>
            <w:noWrap/>
            <w:vAlign w:val="bottom"/>
          </w:tcPr>
          <w:p w14:paraId="0E98E0E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394" w:type="dxa"/>
            <w:gridSpan w:val="5"/>
            <w:tcBorders>
              <w:top w:val="nil"/>
              <w:left w:val="nil"/>
              <w:bottom w:val="nil"/>
              <w:right w:val="nil"/>
            </w:tcBorders>
            <w:shd w:val="clear" w:color="auto" w:fill="auto"/>
            <w:noWrap/>
            <w:vAlign w:val="bottom"/>
          </w:tcPr>
          <w:p w14:paraId="19F922B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394" w:type="dxa"/>
            <w:gridSpan w:val="3"/>
            <w:tcBorders>
              <w:top w:val="nil"/>
              <w:left w:val="nil"/>
              <w:bottom w:val="nil"/>
              <w:right w:val="nil"/>
            </w:tcBorders>
            <w:shd w:val="clear" w:color="auto" w:fill="auto"/>
            <w:noWrap/>
            <w:vAlign w:val="bottom"/>
          </w:tcPr>
          <w:p w14:paraId="05B47DD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139" w:type="dxa"/>
            <w:gridSpan w:val="3"/>
            <w:tcBorders>
              <w:top w:val="nil"/>
              <w:left w:val="nil"/>
              <w:bottom w:val="nil"/>
              <w:right w:val="nil"/>
            </w:tcBorders>
            <w:shd w:val="clear" w:color="auto" w:fill="auto"/>
            <w:noWrap/>
            <w:vAlign w:val="bottom"/>
          </w:tcPr>
          <w:p w14:paraId="784BD0D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141" w:type="dxa"/>
            <w:gridSpan w:val="4"/>
            <w:tcBorders>
              <w:top w:val="nil"/>
              <w:left w:val="nil"/>
              <w:bottom w:val="nil"/>
              <w:right w:val="nil"/>
            </w:tcBorders>
            <w:shd w:val="clear" w:color="auto" w:fill="auto"/>
            <w:noWrap/>
            <w:vAlign w:val="bottom"/>
          </w:tcPr>
          <w:p w14:paraId="0F984D2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BA357B3">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808080"/>
            <w:noWrap/>
            <w:vAlign w:val="bottom"/>
          </w:tcPr>
          <w:p w14:paraId="5E7F860C">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xml:space="preserve"> SVEUKUPNI RASHODI</w:t>
            </w:r>
          </w:p>
        </w:tc>
        <w:tc>
          <w:tcPr>
            <w:tcW w:w="1394" w:type="dxa"/>
            <w:gridSpan w:val="6"/>
            <w:tcBorders>
              <w:top w:val="nil"/>
              <w:left w:val="nil"/>
              <w:bottom w:val="nil"/>
              <w:right w:val="nil"/>
            </w:tcBorders>
            <w:shd w:val="clear" w:color="000000" w:fill="808080"/>
            <w:noWrap/>
            <w:vAlign w:val="bottom"/>
          </w:tcPr>
          <w:p w14:paraId="5D4654A6">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1.351.819,21</w:t>
            </w:r>
          </w:p>
        </w:tc>
        <w:tc>
          <w:tcPr>
            <w:tcW w:w="1394" w:type="dxa"/>
            <w:gridSpan w:val="5"/>
            <w:tcBorders>
              <w:top w:val="nil"/>
              <w:left w:val="nil"/>
              <w:bottom w:val="nil"/>
              <w:right w:val="nil"/>
            </w:tcBorders>
            <w:shd w:val="clear" w:color="000000" w:fill="808080"/>
            <w:noWrap/>
            <w:vAlign w:val="bottom"/>
          </w:tcPr>
          <w:p w14:paraId="6E2A396C">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2.312.712,29</w:t>
            </w:r>
          </w:p>
        </w:tc>
        <w:tc>
          <w:tcPr>
            <w:tcW w:w="1394" w:type="dxa"/>
            <w:gridSpan w:val="3"/>
            <w:tcBorders>
              <w:top w:val="nil"/>
              <w:left w:val="nil"/>
              <w:bottom w:val="nil"/>
              <w:right w:val="nil"/>
            </w:tcBorders>
            <w:shd w:val="clear" w:color="000000" w:fill="808080"/>
            <w:noWrap/>
            <w:vAlign w:val="bottom"/>
          </w:tcPr>
          <w:p w14:paraId="64E9CB42">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2.169.286,67</w:t>
            </w:r>
          </w:p>
        </w:tc>
        <w:tc>
          <w:tcPr>
            <w:tcW w:w="1139" w:type="dxa"/>
            <w:gridSpan w:val="3"/>
            <w:tcBorders>
              <w:top w:val="nil"/>
              <w:left w:val="nil"/>
              <w:bottom w:val="nil"/>
              <w:right w:val="nil"/>
            </w:tcBorders>
            <w:shd w:val="clear" w:color="000000" w:fill="808080"/>
            <w:noWrap/>
            <w:vAlign w:val="bottom"/>
          </w:tcPr>
          <w:p w14:paraId="782799E2">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160,47%</w:t>
            </w:r>
          </w:p>
        </w:tc>
        <w:tc>
          <w:tcPr>
            <w:tcW w:w="1141" w:type="dxa"/>
            <w:gridSpan w:val="4"/>
            <w:tcBorders>
              <w:top w:val="nil"/>
              <w:left w:val="nil"/>
              <w:bottom w:val="nil"/>
              <w:right w:val="nil"/>
            </w:tcBorders>
            <w:shd w:val="clear" w:color="000000" w:fill="808080"/>
            <w:noWrap/>
            <w:vAlign w:val="bottom"/>
          </w:tcPr>
          <w:p w14:paraId="22477D6C">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93,80%</w:t>
            </w:r>
          </w:p>
        </w:tc>
      </w:tr>
      <w:tr w14:paraId="3D8460C6">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00"/>
            <w:noWrap/>
            <w:vAlign w:val="bottom"/>
          </w:tcPr>
          <w:p w14:paraId="3468421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1. Opći prihodi i primici</w:t>
            </w:r>
          </w:p>
        </w:tc>
        <w:tc>
          <w:tcPr>
            <w:tcW w:w="1394" w:type="dxa"/>
            <w:gridSpan w:val="6"/>
            <w:tcBorders>
              <w:top w:val="nil"/>
              <w:left w:val="nil"/>
              <w:bottom w:val="nil"/>
              <w:right w:val="nil"/>
            </w:tcBorders>
            <w:shd w:val="clear" w:color="000000" w:fill="FFFF00"/>
            <w:noWrap/>
            <w:vAlign w:val="bottom"/>
          </w:tcPr>
          <w:p w14:paraId="1EBC8B4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1.188,10</w:t>
            </w:r>
          </w:p>
        </w:tc>
        <w:tc>
          <w:tcPr>
            <w:tcW w:w="1394" w:type="dxa"/>
            <w:gridSpan w:val="5"/>
            <w:tcBorders>
              <w:top w:val="nil"/>
              <w:left w:val="nil"/>
              <w:bottom w:val="nil"/>
              <w:right w:val="nil"/>
            </w:tcBorders>
            <w:shd w:val="clear" w:color="000000" w:fill="FFFF00"/>
            <w:noWrap/>
            <w:vAlign w:val="bottom"/>
          </w:tcPr>
          <w:p w14:paraId="4238069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394" w:type="dxa"/>
            <w:gridSpan w:val="3"/>
            <w:tcBorders>
              <w:top w:val="nil"/>
              <w:left w:val="nil"/>
              <w:bottom w:val="nil"/>
              <w:right w:val="nil"/>
            </w:tcBorders>
            <w:shd w:val="clear" w:color="000000" w:fill="FFFF00"/>
            <w:noWrap/>
            <w:vAlign w:val="bottom"/>
          </w:tcPr>
          <w:p w14:paraId="7A61F35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139" w:type="dxa"/>
            <w:gridSpan w:val="3"/>
            <w:tcBorders>
              <w:top w:val="nil"/>
              <w:left w:val="nil"/>
              <w:bottom w:val="nil"/>
              <w:right w:val="nil"/>
            </w:tcBorders>
            <w:shd w:val="clear" w:color="000000" w:fill="FFFF00"/>
            <w:noWrap/>
            <w:vAlign w:val="bottom"/>
          </w:tcPr>
          <w:p w14:paraId="1AC0858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192,03%</w:t>
            </w:r>
          </w:p>
        </w:tc>
        <w:tc>
          <w:tcPr>
            <w:tcW w:w="1141" w:type="dxa"/>
            <w:gridSpan w:val="4"/>
            <w:tcBorders>
              <w:top w:val="nil"/>
              <w:left w:val="nil"/>
              <w:bottom w:val="nil"/>
              <w:right w:val="nil"/>
            </w:tcBorders>
            <w:shd w:val="clear" w:color="000000" w:fill="FFFF00"/>
            <w:noWrap/>
            <w:vAlign w:val="bottom"/>
          </w:tcPr>
          <w:p w14:paraId="66CF65E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61549780">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1A81655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1.1. Opći prihodi i primici</w:t>
            </w:r>
          </w:p>
        </w:tc>
        <w:tc>
          <w:tcPr>
            <w:tcW w:w="1394" w:type="dxa"/>
            <w:gridSpan w:val="6"/>
            <w:tcBorders>
              <w:top w:val="nil"/>
              <w:left w:val="nil"/>
              <w:bottom w:val="nil"/>
              <w:right w:val="nil"/>
            </w:tcBorders>
            <w:shd w:val="clear" w:color="000000" w:fill="FFFF99"/>
            <w:noWrap/>
            <w:vAlign w:val="bottom"/>
          </w:tcPr>
          <w:p w14:paraId="7118C90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1.188,10</w:t>
            </w:r>
          </w:p>
        </w:tc>
        <w:tc>
          <w:tcPr>
            <w:tcW w:w="1394" w:type="dxa"/>
            <w:gridSpan w:val="5"/>
            <w:tcBorders>
              <w:top w:val="nil"/>
              <w:left w:val="nil"/>
              <w:bottom w:val="nil"/>
              <w:right w:val="nil"/>
            </w:tcBorders>
            <w:shd w:val="clear" w:color="000000" w:fill="FFFF99"/>
            <w:noWrap/>
            <w:vAlign w:val="bottom"/>
          </w:tcPr>
          <w:p w14:paraId="5EE46A3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394" w:type="dxa"/>
            <w:gridSpan w:val="3"/>
            <w:tcBorders>
              <w:top w:val="nil"/>
              <w:left w:val="nil"/>
              <w:bottom w:val="nil"/>
              <w:right w:val="nil"/>
            </w:tcBorders>
            <w:shd w:val="clear" w:color="000000" w:fill="FFFF99"/>
            <w:noWrap/>
            <w:vAlign w:val="bottom"/>
          </w:tcPr>
          <w:p w14:paraId="7BCB3F4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139" w:type="dxa"/>
            <w:gridSpan w:val="3"/>
            <w:tcBorders>
              <w:top w:val="nil"/>
              <w:left w:val="nil"/>
              <w:bottom w:val="nil"/>
              <w:right w:val="nil"/>
            </w:tcBorders>
            <w:shd w:val="clear" w:color="000000" w:fill="FFFF99"/>
            <w:noWrap/>
            <w:vAlign w:val="bottom"/>
          </w:tcPr>
          <w:p w14:paraId="3F487B3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192,03%</w:t>
            </w:r>
          </w:p>
        </w:tc>
        <w:tc>
          <w:tcPr>
            <w:tcW w:w="1141" w:type="dxa"/>
            <w:gridSpan w:val="4"/>
            <w:tcBorders>
              <w:top w:val="nil"/>
              <w:left w:val="nil"/>
              <w:bottom w:val="nil"/>
              <w:right w:val="nil"/>
            </w:tcBorders>
            <w:shd w:val="clear" w:color="000000" w:fill="FFFF99"/>
            <w:noWrap/>
            <w:vAlign w:val="bottom"/>
          </w:tcPr>
          <w:p w14:paraId="5AAAB0F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0F458426">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00"/>
            <w:noWrap/>
            <w:vAlign w:val="bottom"/>
          </w:tcPr>
          <w:p w14:paraId="0544EF2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 Prihodi za posebne namjene</w:t>
            </w:r>
          </w:p>
        </w:tc>
        <w:tc>
          <w:tcPr>
            <w:tcW w:w="1394" w:type="dxa"/>
            <w:gridSpan w:val="6"/>
            <w:tcBorders>
              <w:top w:val="nil"/>
              <w:left w:val="nil"/>
              <w:bottom w:val="nil"/>
              <w:right w:val="nil"/>
            </w:tcBorders>
            <w:shd w:val="clear" w:color="000000" w:fill="FFFF00"/>
            <w:noWrap/>
            <w:vAlign w:val="bottom"/>
          </w:tcPr>
          <w:p w14:paraId="40987DD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1.350.631,11</w:t>
            </w:r>
          </w:p>
        </w:tc>
        <w:tc>
          <w:tcPr>
            <w:tcW w:w="1394" w:type="dxa"/>
            <w:gridSpan w:val="5"/>
            <w:tcBorders>
              <w:top w:val="nil"/>
              <w:left w:val="nil"/>
              <w:bottom w:val="nil"/>
              <w:right w:val="nil"/>
            </w:tcBorders>
            <w:shd w:val="clear" w:color="000000" w:fill="FFFF00"/>
            <w:noWrap/>
            <w:vAlign w:val="bottom"/>
          </w:tcPr>
          <w:p w14:paraId="3520A1E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2.310.430,74</w:t>
            </w:r>
          </w:p>
        </w:tc>
        <w:tc>
          <w:tcPr>
            <w:tcW w:w="1394" w:type="dxa"/>
            <w:gridSpan w:val="3"/>
            <w:tcBorders>
              <w:top w:val="nil"/>
              <w:left w:val="nil"/>
              <w:bottom w:val="nil"/>
              <w:right w:val="nil"/>
            </w:tcBorders>
            <w:shd w:val="clear" w:color="000000" w:fill="FFFF00"/>
            <w:noWrap/>
            <w:vAlign w:val="bottom"/>
          </w:tcPr>
          <w:p w14:paraId="3FF0245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2.167.005,12</w:t>
            </w:r>
          </w:p>
        </w:tc>
        <w:tc>
          <w:tcPr>
            <w:tcW w:w="1139" w:type="dxa"/>
            <w:gridSpan w:val="3"/>
            <w:tcBorders>
              <w:top w:val="nil"/>
              <w:left w:val="nil"/>
              <w:bottom w:val="nil"/>
              <w:right w:val="nil"/>
            </w:tcBorders>
            <w:shd w:val="clear" w:color="000000" w:fill="FFFF00"/>
            <w:noWrap/>
            <w:vAlign w:val="bottom"/>
          </w:tcPr>
          <w:p w14:paraId="7AAED60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160,44%</w:t>
            </w:r>
          </w:p>
        </w:tc>
        <w:tc>
          <w:tcPr>
            <w:tcW w:w="1141" w:type="dxa"/>
            <w:gridSpan w:val="4"/>
            <w:tcBorders>
              <w:top w:val="nil"/>
              <w:left w:val="nil"/>
              <w:bottom w:val="nil"/>
              <w:right w:val="nil"/>
            </w:tcBorders>
            <w:shd w:val="clear" w:color="000000" w:fill="FFFF00"/>
            <w:noWrap/>
            <w:vAlign w:val="bottom"/>
          </w:tcPr>
          <w:p w14:paraId="20559BC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93,79%</w:t>
            </w:r>
          </w:p>
        </w:tc>
      </w:tr>
      <w:tr w14:paraId="11242CC6">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78EB6664">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4.8. Decentralizirana sredstva</w:t>
            </w:r>
          </w:p>
        </w:tc>
        <w:tc>
          <w:tcPr>
            <w:tcW w:w="1394" w:type="dxa"/>
            <w:gridSpan w:val="6"/>
            <w:tcBorders>
              <w:top w:val="nil"/>
              <w:left w:val="nil"/>
              <w:bottom w:val="nil"/>
              <w:right w:val="nil"/>
            </w:tcBorders>
            <w:shd w:val="clear" w:color="000000" w:fill="FFFF99"/>
            <w:noWrap/>
            <w:vAlign w:val="bottom"/>
          </w:tcPr>
          <w:p w14:paraId="79C3FA3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62.940,26</w:t>
            </w:r>
          </w:p>
        </w:tc>
        <w:tc>
          <w:tcPr>
            <w:tcW w:w="1394" w:type="dxa"/>
            <w:gridSpan w:val="5"/>
            <w:tcBorders>
              <w:top w:val="nil"/>
              <w:left w:val="nil"/>
              <w:bottom w:val="nil"/>
              <w:right w:val="nil"/>
            </w:tcBorders>
            <w:shd w:val="clear" w:color="000000" w:fill="FFFF99"/>
            <w:noWrap/>
            <w:vAlign w:val="bottom"/>
          </w:tcPr>
          <w:p w14:paraId="6E62315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127.382,25</w:t>
            </w:r>
          </w:p>
        </w:tc>
        <w:tc>
          <w:tcPr>
            <w:tcW w:w="1394" w:type="dxa"/>
            <w:gridSpan w:val="3"/>
            <w:tcBorders>
              <w:top w:val="nil"/>
              <w:left w:val="nil"/>
              <w:bottom w:val="nil"/>
              <w:right w:val="nil"/>
            </w:tcBorders>
            <w:shd w:val="clear" w:color="000000" w:fill="FFFF99"/>
            <w:noWrap/>
            <w:vAlign w:val="bottom"/>
          </w:tcPr>
          <w:p w14:paraId="480BED7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126.351,88</w:t>
            </w:r>
          </w:p>
        </w:tc>
        <w:tc>
          <w:tcPr>
            <w:tcW w:w="1139" w:type="dxa"/>
            <w:gridSpan w:val="3"/>
            <w:tcBorders>
              <w:top w:val="nil"/>
              <w:left w:val="nil"/>
              <w:bottom w:val="nil"/>
              <w:right w:val="nil"/>
            </w:tcBorders>
            <w:shd w:val="clear" w:color="000000" w:fill="FFFF99"/>
            <w:noWrap/>
            <w:vAlign w:val="bottom"/>
          </w:tcPr>
          <w:p w14:paraId="0CA0ADE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200,75%</w:t>
            </w:r>
          </w:p>
        </w:tc>
        <w:tc>
          <w:tcPr>
            <w:tcW w:w="1141" w:type="dxa"/>
            <w:gridSpan w:val="4"/>
            <w:tcBorders>
              <w:top w:val="nil"/>
              <w:left w:val="nil"/>
              <w:bottom w:val="nil"/>
              <w:right w:val="nil"/>
            </w:tcBorders>
            <w:shd w:val="clear" w:color="000000" w:fill="FFFF99"/>
            <w:noWrap/>
            <w:vAlign w:val="bottom"/>
          </w:tcPr>
          <w:p w14:paraId="0B3BD34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99,19%</w:t>
            </w:r>
          </w:p>
        </w:tc>
      </w:tr>
      <w:tr w14:paraId="0CBBBD72">
        <w:tblPrEx>
          <w:tblCellMar>
            <w:top w:w="0" w:type="dxa"/>
            <w:left w:w="108" w:type="dxa"/>
            <w:bottom w:w="0" w:type="dxa"/>
            <w:right w:w="108" w:type="dxa"/>
          </w:tblCellMar>
        </w:tblPrEx>
        <w:trPr>
          <w:trHeight w:val="258" w:hRule="atLeast"/>
        </w:trPr>
        <w:tc>
          <w:tcPr>
            <w:tcW w:w="6836" w:type="dxa"/>
            <w:gridSpan w:val="30"/>
            <w:tcBorders>
              <w:top w:val="nil"/>
              <w:left w:val="nil"/>
              <w:bottom w:val="nil"/>
              <w:right w:val="nil"/>
            </w:tcBorders>
            <w:shd w:val="clear" w:color="000000" w:fill="FFFF99"/>
            <w:noWrap/>
            <w:vAlign w:val="bottom"/>
          </w:tcPr>
          <w:p w14:paraId="33D6585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 4.9. Vlastiti i namjenski prihodi proračunskih korisnika</w:t>
            </w:r>
          </w:p>
        </w:tc>
        <w:tc>
          <w:tcPr>
            <w:tcW w:w="1394" w:type="dxa"/>
            <w:gridSpan w:val="6"/>
            <w:tcBorders>
              <w:top w:val="nil"/>
              <w:left w:val="nil"/>
              <w:bottom w:val="nil"/>
              <w:right w:val="nil"/>
            </w:tcBorders>
            <w:shd w:val="clear" w:color="000000" w:fill="FFFF99"/>
            <w:noWrap/>
            <w:vAlign w:val="bottom"/>
          </w:tcPr>
          <w:p w14:paraId="41079BC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1.287.690,85</w:t>
            </w:r>
          </w:p>
        </w:tc>
        <w:tc>
          <w:tcPr>
            <w:tcW w:w="1394" w:type="dxa"/>
            <w:gridSpan w:val="5"/>
            <w:tcBorders>
              <w:top w:val="nil"/>
              <w:left w:val="nil"/>
              <w:bottom w:val="nil"/>
              <w:right w:val="nil"/>
            </w:tcBorders>
            <w:shd w:val="clear" w:color="000000" w:fill="FFFF99"/>
            <w:noWrap/>
            <w:vAlign w:val="bottom"/>
          </w:tcPr>
          <w:p w14:paraId="5BEF240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2.183.048,49</w:t>
            </w:r>
          </w:p>
        </w:tc>
        <w:tc>
          <w:tcPr>
            <w:tcW w:w="1394" w:type="dxa"/>
            <w:gridSpan w:val="3"/>
            <w:tcBorders>
              <w:top w:val="nil"/>
              <w:left w:val="nil"/>
              <w:bottom w:val="nil"/>
              <w:right w:val="nil"/>
            </w:tcBorders>
            <w:shd w:val="clear" w:color="000000" w:fill="FFFF99"/>
            <w:noWrap/>
            <w:vAlign w:val="bottom"/>
          </w:tcPr>
          <w:p w14:paraId="00456C5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2.040.653,24</w:t>
            </w:r>
          </w:p>
        </w:tc>
        <w:tc>
          <w:tcPr>
            <w:tcW w:w="1139" w:type="dxa"/>
            <w:gridSpan w:val="3"/>
            <w:tcBorders>
              <w:top w:val="nil"/>
              <w:left w:val="nil"/>
              <w:bottom w:val="nil"/>
              <w:right w:val="nil"/>
            </w:tcBorders>
            <w:shd w:val="clear" w:color="000000" w:fill="FFFF99"/>
            <w:noWrap/>
            <w:vAlign w:val="bottom"/>
          </w:tcPr>
          <w:p w14:paraId="0259487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158,47%</w:t>
            </w:r>
          </w:p>
        </w:tc>
        <w:tc>
          <w:tcPr>
            <w:tcW w:w="1141" w:type="dxa"/>
            <w:gridSpan w:val="4"/>
            <w:tcBorders>
              <w:top w:val="nil"/>
              <w:left w:val="nil"/>
              <w:bottom w:val="nil"/>
              <w:right w:val="nil"/>
            </w:tcBorders>
            <w:shd w:val="clear" w:color="000000" w:fill="FFFF99"/>
            <w:noWrap/>
            <w:vAlign w:val="bottom"/>
          </w:tcPr>
          <w:p w14:paraId="363E3D2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93,48%</w:t>
            </w:r>
          </w:p>
        </w:tc>
      </w:tr>
    </w:tbl>
    <w:p w14:paraId="2C106F66">
      <w:pPr>
        <w:widowControl/>
        <w:autoSpaceDE/>
        <w:autoSpaceDN/>
        <w:adjustRightInd/>
        <w:spacing w:after="160" w:line="259" w:lineRule="auto"/>
        <w:rPr>
          <w:rFonts w:ascii="Arial" w:hAnsi="Arial" w:cs="Arial"/>
          <w:b/>
          <w:bCs/>
          <w:spacing w:val="-8"/>
          <w:sz w:val="20"/>
          <w:szCs w:val="20"/>
        </w:rPr>
      </w:pPr>
      <w:r>
        <w:rPr>
          <w:rFonts w:ascii="Arial" w:hAnsi="Arial" w:cs="Arial"/>
          <w:b/>
          <w:bCs/>
          <w:spacing w:val="-8"/>
          <w:sz w:val="20"/>
          <w:szCs w:val="20"/>
        </w:rPr>
        <w:br w:type="page"/>
      </w:r>
    </w:p>
    <w:tbl>
      <w:tblPr>
        <w:tblStyle w:val="4"/>
        <w:tblW w:w="13948" w:type="dxa"/>
        <w:tblInd w:w="0" w:type="dxa"/>
        <w:tblLayout w:type="autofit"/>
        <w:tblCellMar>
          <w:top w:w="0" w:type="dxa"/>
          <w:left w:w="108" w:type="dxa"/>
          <w:bottom w:w="0" w:type="dxa"/>
          <w:right w:w="108" w:type="dxa"/>
        </w:tblCellMar>
      </w:tblPr>
      <w:tblGrid>
        <w:gridCol w:w="6667"/>
        <w:gridCol w:w="1555"/>
        <w:gridCol w:w="1852"/>
        <w:gridCol w:w="1555"/>
        <w:gridCol w:w="1158"/>
        <w:gridCol w:w="1161"/>
      </w:tblGrid>
      <w:tr w14:paraId="174FDEBC">
        <w:tblPrEx>
          <w:tblCellMar>
            <w:top w:w="0" w:type="dxa"/>
            <w:left w:w="108" w:type="dxa"/>
            <w:bottom w:w="0" w:type="dxa"/>
            <w:right w:w="108" w:type="dxa"/>
          </w:tblCellMar>
        </w:tblPrEx>
        <w:trPr>
          <w:trHeight w:val="562" w:hRule="atLeast"/>
        </w:trPr>
        <w:tc>
          <w:tcPr>
            <w:tcW w:w="13948" w:type="dxa"/>
            <w:gridSpan w:val="6"/>
            <w:tcBorders>
              <w:top w:val="nil"/>
              <w:left w:val="nil"/>
              <w:bottom w:val="nil"/>
              <w:right w:val="nil"/>
            </w:tcBorders>
            <w:shd w:val="clear" w:color="auto" w:fill="auto"/>
            <w:noWrap/>
            <w:vAlign w:val="bottom"/>
          </w:tcPr>
          <w:p w14:paraId="288527AD">
            <w:pPr>
              <w:widowControl/>
              <w:autoSpaceDE/>
              <w:autoSpaceDN/>
              <w:adjustRightInd/>
              <w:jc w:val="center"/>
              <w:rPr>
                <w:rFonts w:ascii="Calibri" w:hAnsi="Calibri" w:eastAsia="Times New Roman" w:cs="Calibri"/>
                <w:b/>
                <w:bCs/>
                <w:sz w:val="28"/>
                <w:szCs w:val="28"/>
                <w:lang w:val="en-US" w:eastAsia="en-US"/>
              </w:rPr>
            </w:pPr>
            <w:r>
              <w:rPr>
                <w:rFonts w:ascii="Calibri" w:hAnsi="Calibri" w:eastAsia="Times New Roman" w:cs="Calibri"/>
                <w:b/>
                <w:bCs/>
                <w:sz w:val="28"/>
                <w:szCs w:val="28"/>
                <w:lang w:val="en-US" w:eastAsia="en-US"/>
              </w:rPr>
              <w:t>Rashodi prema funkcijskoj klasifikaciji</w:t>
            </w:r>
          </w:p>
        </w:tc>
      </w:tr>
      <w:tr w14:paraId="6FC199B9">
        <w:tblPrEx>
          <w:tblCellMar>
            <w:top w:w="0" w:type="dxa"/>
            <w:left w:w="108" w:type="dxa"/>
            <w:bottom w:w="0" w:type="dxa"/>
            <w:right w:w="108" w:type="dxa"/>
          </w:tblCellMar>
        </w:tblPrEx>
        <w:trPr>
          <w:trHeight w:val="449" w:hRule="atLeast"/>
        </w:trPr>
        <w:tc>
          <w:tcPr>
            <w:tcW w:w="13948" w:type="dxa"/>
            <w:gridSpan w:val="6"/>
            <w:tcBorders>
              <w:top w:val="nil"/>
              <w:left w:val="nil"/>
              <w:bottom w:val="nil"/>
              <w:right w:val="nil"/>
            </w:tcBorders>
            <w:shd w:val="clear" w:color="auto" w:fill="auto"/>
            <w:noWrap/>
            <w:vAlign w:val="bottom"/>
          </w:tcPr>
          <w:p w14:paraId="6E207F54">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 razdoblje od 01.01.2024. do 31.12.2024.</w:t>
            </w:r>
          </w:p>
        </w:tc>
      </w:tr>
      <w:tr w14:paraId="53E1971A">
        <w:tblPrEx>
          <w:tblCellMar>
            <w:top w:w="0" w:type="dxa"/>
            <w:left w:w="108" w:type="dxa"/>
            <w:bottom w:w="0" w:type="dxa"/>
            <w:right w:w="108" w:type="dxa"/>
          </w:tblCellMar>
        </w:tblPrEx>
        <w:trPr>
          <w:trHeight w:val="449" w:hRule="atLeast"/>
        </w:trPr>
        <w:tc>
          <w:tcPr>
            <w:tcW w:w="13948" w:type="dxa"/>
            <w:gridSpan w:val="6"/>
            <w:tcBorders>
              <w:top w:val="nil"/>
              <w:left w:val="nil"/>
              <w:bottom w:val="nil"/>
              <w:right w:val="nil"/>
            </w:tcBorders>
            <w:shd w:val="clear" w:color="auto" w:fill="auto"/>
            <w:noWrap/>
            <w:vAlign w:val="bottom"/>
          </w:tcPr>
          <w:p w14:paraId="713330BC">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7DA9E08">
        <w:tblPrEx>
          <w:tblCellMar>
            <w:top w:w="0" w:type="dxa"/>
            <w:left w:w="108" w:type="dxa"/>
            <w:bottom w:w="0" w:type="dxa"/>
            <w:right w:w="108" w:type="dxa"/>
          </w:tblCellMar>
        </w:tblPrEx>
        <w:trPr>
          <w:trHeight w:val="449" w:hRule="atLeast"/>
        </w:trPr>
        <w:tc>
          <w:tcPr>
            <w:tcW w:w="6667" w:type="dxa"/>
            <w:tcBorders>
              <w:top w:val="nil"/>
              <w:left w:val="nil"/>
              <w:bottom w:val="nil"/>
              <w:right w:val="nil"/>
            </w:tcBorders>
            <w:shd w:val="clear" w:color="000000" w:fill="969696"/>
            <w:noWrap/>
            <w:vAlign w:val="bottom"/>
          </w:tcPr>
          <w:p w14:paraId="106EB590">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Račun/Opis</w:t>
            </w:r>
          </w:p>
        </w:tc>
        <w:tc>
          <w:tcPr>
            <w:tcW w:w="1555" w:type="dxa"/>
            <w:tcBorders>
              <w:top w:val="nil"/>
              <w:left w:val="nil"/>
              <w:bottom w:val="nil"/>
              <w:right w:val="nil"/>
            </w:tcBorders>
            <w:shd w:val="clear" w:color="000000" w:fill="969696"/>
            <w:noWrap/>
            <w:vAlign w:val="bottom"/>
          </w:tcPr>
          <w:p w14:paraId="0238051F">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2023</w:t>
            </w:r>
          </w:p>
        </w:tc>
        <w:tc>
          <w:tcPr>
            <w:tcW w:w="1852" w:type="dxa"/>
            <w:tcBorders>
              <w:top w:val="nil"/>
              <w:left w:val="nil"/>
              <w:bottom w:val="nil"/>
              <w:right w:val="nil"/>
            </w:tcBorders>
            <w:shd w:val="clear" w:color="000000" w:fill="969696"/>
            <w:noWrap/>
            <w:vAlign w:val="bottom"/>
          </w:tcPr>
          <w:p w14:paraId="3A29256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Izvorni plan/rebalans 2024</w:t>
            </w:r>
          </w:p>
        </w:tc>
        <w:tc>
          <w:tcPr>
            <w:tcW w:w="1555" w:type="dxa"/>
            <w:tcBorders>
              <w:top w:val="nil"/>
              <w:left w:val="nil"/>
              <w:bottom w:val="nil"/>
              <w:right w:val="nil"/>
            </w:tcBorders>
            <w:shd w:val="clear" w:color="000000" w:fill="969696"/>
            <w:noWrap/>
            <w:vAlign w:val="bottom"/>
          </w:tcPr>
          <w:p w14:paraId="578C50D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2024</w:t>
            </w:r>
          </w:p>
        </w:tc>
        <w:tc>
          <w:tcPr>
            <w:tcW w:w="1158" w:type="dxa"/>
            <w:tcBorders>
              <w:top w:val="nil"/>
              <w:left w:val="nil"/>
              <w:bottom w:val="nil"/>
              <w:right w:val="nil"/>
            </w:tcBorders>
            <w:shd w:val="clear" w:color="000000" w:fill="969696"/>
            <w:noWrap/>
            <w:vAlign w:val="bottom"/>
          </w:tcPr>
          <w:p w14:paraId="3D05F49D">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3/1</w:t>
            </w:r>
          </w:p>
        </w:tc>
        <w:tc>
          <w:tcPr>
            <w:tcW w:w="1158" w:type="dxa"/>
            <w:tcBorders>
              <w:top w:val="nil"/>
              <w:left w:val="nil"/>
              <w:bottom w:val="nil"/>
              <w:right w:val="nil"/>
            </w:tcBorders>
            <w:shd w:val="clear" w:color="000000" w:fill="969696"/>
            <w:noWrap/>
            <w:vAlign w:val="bottom"/>
          </w:tcPr>
          <w:p w14:paraId="288600D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3/2</w:t>
            </w:r>
          </w:p>
        </w:tc>
      </w:tr>
      <w:tr w14:paraId="2CB85C38">
        <w:tblPrEx>
          <w:tblCellMar>
            <w:top w:w="0" w:type="dxa"/>
            <w:left w:w="108" w:type="dxa"/>
            <w:bottom w:w="0" w:type="dxa"/>
            <w:right w:w="108" w:type="dxa"/>
          </w:tblCellMar>
        </w:tblPrEx>
        <w:trPr>
          <w:trHeight w:val="449" w:hRule="atLeast"/>
        </w:trPr>
        <w:tc>
          <w:tcPr>
            <w:tcW w:w="6667" w:type="dxa"/>
            <w:tcBorders>
              <w:top w:val="nil"/>
              <w:left w:val="nil"/>
              <w:bottom w:val="nil"/>
              <w:right w:val="nil"/>
            </w:tcBorders>
            <w:shd w:val="clear" w:color="000000" w:fill="969696"/>
            <w:noWrap/>
            <w:vAlign w:val="bottom"/>
          </w:tcPr>
          <w:p w14:paraId="58ED6AA7">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555" w:type="dxa"/>
            <w:tcBorders>
              <w:top w:val="nil"/>
              <w:left w:val="nil"/>
              <w:bottom w:val="nil"/>
              <w:right w:val="nil"/>
            </w:tcBorders>
            <w:shd w:val="clear" w:color="000000" w:fill="969696"/>
            <w:noWrap/>
            <w:vAlign w:val="bottom"/>
          </w:tcPr>
          <w:p w14:paraId="27216907">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w:t>
            </w:r>
          </w:p>
        </w:tc>
        <w:tc>
          <w:tcPr>
            <w:tcW w:w="1852" w:type="dxa"/>
            <w:tcBorders>
              <w:top w:val="nil"/>
              <w:left w:val="nil"/>
              <w:bottom w:val="nil"/>
              <w:right w:val="nil"/>
            </w:tcBorders>
            <w:shd w:val="clear" w:color="000000" w:fill="969696"/>
            <w:noWrap/>
            <w:vAlign w:val="bottom"/>
          </w:tcPr>
          <w:p w14:paraId="47C6FBA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w:t>
            </w:r>
          </w:p>
        </w:tc>
        <w:tc>
          <w:tcPr>
            <w:tcW w:w="1555" w:type="dxa"/>
            <w:tcBorders>
              <w:top w:val="nil"/>
              <w:left w:val="nil"/>
              <w:bottom w:val="nil"/>
              <w:right w:val="nil"/>
            </w:tcBorders>
            <w:shd w:val="clear" w:color="000000" w:fill="969696"/>
            <w:noWrap/>
            <w:vAlign w:val="bottom"/>
          </w:tcPr>
          <w:p w14:paraId="37B0DB6F">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w:t>
            </w:r>
          </w:p>
        </w:tc>
        <w:tc>
          <w:tcPr>
            <w:tcW w:w="1158" w:type="dxa"/>
            <w:tcBorders>
              <w:top w:val="nil"/>
              <w:left w:val="nil"/>
              <w:bottom w:val="nil"/>
              <w:right w:val="nil"/>
            </w:tcBorders>
            <w:shd w:val="clear" w:color="000000" w:fill="969696"/>
            <w:noWrap/>
            <w:vAlign w:val="bottom"/>
          </w:tcPr>
          <w:p w14:paraId="16DEF9C8">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w:t>
            </w:r>
          </w:p>
        </w:tc>
        <w:tc>
          <w:tcPr>
            <w:tcW w:w="1158" w:type="dxa"/>
            <w:tcBorders>
              <w:top w:val="nil"/>
              <w:left w:val="nil"/>
              <w:bottom w:val="nil"/>
              <w:right w:val="nil"/>
            </w:tcBorders>
            <w:shd w:val="clear" w:color="000000" w:fill="969696"/>
            <w:noWrap/>
            <w:vAlign w:val="bottom"/>
          </w:tcPr>
          <w:p w14:paraId="032139F0">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w:t>
            </w:r>
          </w:p>
        </w:tc>
      </w:tr>
      <w:tr w14:paraId="40F96042">
        <w:tblPrEx>
          <w:tblCellMar>
            <w:top w:w="0" w:type="dxa"/>
            <w:left w:w="108" w:type="dxa"/>
            <w:bottom w:w="0" w:type="dxa"/>
            <w:right w:w="108" w:type="dxa"/>
          </w:tblCellMar>
        </w:tblPrEx>
        <w:trPr>
          <w:trHeight w:val="449" w:hRule="atLeast"/>
        </w:trPr>
        <w:tc>
          <w:tcPr>
            <w:tcW w:w="6667" w:type="dxa"/>
            <w:tcBorders>
              <w:top w:val="nil"/>
              <w:left w:val="nil"/>
              <w:bottom w:val="nil"/>
              <w:right w:val="nil"/>
            </w:tcBorders>
            <w:shd w:val="clear" w:color="000000" w:fill="C0C0C0"/>
            <w:noWrap/>
            <w:vAlign w:val="bottom"/>
          </w:tcPr>
          <w:p w14:paraId="37B6946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Funkcijska klasifikacija  SVEUKUPNI RASHODI</w:t>
            </w:r>
          </w:p>
        </w:tc>
        <w:tc>
          <w:tcPr>
            <w:tcW w:w="1555" w:type="dxa"/>
            <w:tcBorders>
              <w:top w:val="nil"/>
              <w:left w:val="nil"/>
              <w:bottom w:val="nil"/>
              <w:right w:val="nil"/>
            </w:tcBorders>
            <w:shd w:val="clear" w:color="000000" w:fill="C0C0C0"/>
            <w:noWrap/>
            <w:vAlign w:val="bottom"/>
          </w:tcPr>
          <w:p w14:paraId="72673B6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1.351.819,21</w:t>
            </w:r>
          </w:p>
        </w:tc>
        <w:tc>
          <w:tcPr>
            <w:tcW w:w="1852" w:type="dxa"/>
            <w:tcBorders>
              <w:top w:val="nil"/>
              <w:left w:val="nil"/>
              <w:bottom w:val="nil"/>
              <w:right w:val="nil"/>
            </w:tcBorders>
            <w:shd w:val="clear" w:color="000000" w:fill="C0C0C0"/>
            <w:noWrap/>
            <w:vAlign w:val="bottom"/>
          </w:tcPr>
          <w:p w14:paraId="7D5DF8E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2.312.712,29</w:t>
            </w:r>
          </w:p>
        </w:tc>
        <w:tc>
          <w:tcPr>
            <w:tcW w:w="1555" w:type="dxa"/>
            <w:tcBorders>
              <w:top w:val="nil"/>
              <w:left w:val="nil"/>
              <w:bottom w:val="nil"/>
              <w:right w:val="nil"/>
            </w:tcBorders>
            <w:shd w:val="clear" w:color="000000" w:fill="C0C0C0"/>
            <w:noWrap/>
            <w:vAlign w:val="bottom"/>
          </w:tcPr>
          <w:p w14:paraId="1922180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2.169.486,67</w:t>
            </w:r>
          </w:p>
        </w:tc>
        <w:tc>
          <w:tcPr>
            <w:tcW w:w="1158" w:type="dxa"/>
            <w:tcBorders>
              <w:top w:val="nil"/>
              <w:left w:val="nil"/>
              <w:bottom w:val="nil"/>
              <w:right w:val="nil"/>
            </w:tcBorders>
            <w:shd w:val="clear" w:color="000000" w:fill="C0C0C0"/>
            <w:noWrap/>
            <w:vAlign w:val="bottom"/>
          </w:tcPr>
          <w:p w14:paraId="4C0065E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160,49%</w:t>
            </w:r>
          </w:p>
        </w:tc>
        <w:tc>
          <w:tcPr>
            <w:tcW w:w="1158" w:type="dxa"/>
            <w:tcBorders>
              <w:top w:val="nil"/>
              <w:left w:val="nil"/>
              <w:bottom w:val="nil"/>
              <w:right w:val="nil"/>
            </w:tcBorders>
            <w:shd w:val="clear" w:color="000000" w:fill="C0C0C0"/>
            <w:noWrap/>
            <w:vAlign w:val="bottom"/>
          </w:tcPr>
          <w:p w14:paraId="465188C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93,81%</w:t>
            </w:r>
          </w:p>
        </w:tc>
      </w:tr>
      <w:tr w14:paraId="6314E5D4">
        <w:tblPrEx>
          <w:tblCellMar>
            <w:top w:w="0" w:type="dxa"/>
            <w:left w:w="108" w:type="dxa"/>
            <w:bottom w:w="0" w:type="dxa"/>
            <w:right w:w="108" w:type="dxa"/>
          </w:tblCellMar>
        </w:tblPrEx>
        <w:trPr>
          <w:trHeight w:val="449" w:hRule="atLeast"/>
        </w:trPr>
        <w:tc>
          <w:tcPr>
            <w:tcW w:w="6667" w:type="dxa"/>
            <w:tcBorders>
              <w:top w:val="nil"/>
              <w:left w:val="nil"/>
              <w:bottom w:val="nil"/>
              <w:right w:val="nil"/>
            </w:tcBorders>
            <w:shd w:val="clear" w:color="000000" w:fill="99CCFF"/>
            <w:noWrap/>
            <w:vAlign w:val="bottom"/>
          </w:tcPr>
          <w:p w14:paraId="39EEAAA1">
            <w:pPr>
              <w:widowControl/>
              <w:autoSpaceDE/>
              <w:autoSpaceDN/>
              <w:adjustRightInd/>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Funkcijska klasifikacija 09 Obrazovanje</w:t>
            </w:r>
          </w:p>
        </w:tc>
        <w:tc>
          <w:tcPr>
            <w:tcW w:w="1555" w:type="dxa"/>
            <w:tcBorders>
              <w:top w:val="nil"/>
              <w:left w:val="nil"/>
              <w:bottom w:val="nil"/>
              <w:right w:val="nil"/>
            </w:tcBorders>
            <w:shd w:val="clear" w:color="000000" w:fill="99CCFF"/>
            <w:noWrap/>
            <w:vAlign w:val="bottom"/>
          </w:tcPr>
          <w:p w14:paraId="1414B67C">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1.351.819,21</w:t>
            </w:r>
          </w:p>
        </w:tc>
        <w:tc>
          <w:tcPr>
            <w:tcW w:w="1852" w:type="dxa"/>
            <w:tcBorders>
              <w:top w:val="nil"/>
              <w:left w:val="nil"/>
              <w:bottom w:val="nil"/>
              <w:right w:val="nil"/>
            </w:tcBorders>
            <w:shd w:val="clear" w:color="000000" w:fill="99CCFF"/>
            <w:noWrap/>
            <w:vAlign w:val="bottom"/>
          </w:tcPr>
          <w:p w14:paraId="79A97E46">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2.312.712,29</w:t>
            </w:r>
          </w:p>
        </w:tc>
        <w:tc>
          <w:tcPr>
            <w:tcW w:w="1555" w:type="dxa"/>
            <w:tcBorders>
              <w:top w:val="nil"/>
              <w:left w:val="nil"/>
              <w:bottom w:val="nil"/>
              <w:right w:val="nil"/>
            </w:tcBorders>
            <w:shd w:val="clear" w:color="000000" w:fill="99CCFF"/>
            <w:noWrap/>
            <w:vAlign w:val="bottom"/>
          </w:tcPr>
          <w:p w14:paraId="765E2B5A">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2.169.486,67</w:t>
            </w:r>
          </w:p>
        </w:tc>
        <w:tc>
          <w:tcPr>
            <w:tcW w:w="1158" w:type="dxa"/>
            <w:tcBorders>
              <w:top w:val="nil"/>
              <w:left w:val="nil"/>
              <w:bottom w:val="nil"/>
              <w:right w:val="nil"/>
            </w:tcBorders>
            <w:shd w:val="clear" w:color="000000" w:fill="99CCFF"/>
            <w:noWrap/>
            <w:vAlign w:val="bottom"/>
          </w:tcPr>
          <w:p w14:paraId="15B21981">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160,49%</w:t>
            </w:r>
          </w:p>
        </w:tc>
        <w:tc>
          <w:tcPr>
            <w:tcW w:w="1158" w:type="dxa"/>
            <w:tcBorders>
              <w:top w:val="nil"/>
              <w:left w:val="nil"/>
              <w:bottom w:val="nil"/>
              <w:right w:val="nil"/>
            </w:tcBorders>
            <w:shd w:val="clear" w:color="000000" w:fill="99CCFF"/>
            <w:noWrap/>
            <w:vAlign w:val="bottom"/>
          </w:tcPr>
          <w:p w14:paraId="6C891C70">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93,81%</w:t>
            </w:r>
          </w:p>
        </w:tc>
      </w:tr>
      <w:tr w14:paraId="6F155ADF">
        <w:tblPrEx>
          <w:tblCellMar>
            <w:top w:w="0" w:type="dxa"/>
            <w:left w:w="108" w:type="dxa"/>
            <w:bottom w:w="0" w:type="dxa"/>
            <w:right w:w="108" w:type="dxa"/>
          </w:tblCellMar>
        </w:tblPrEx>
        <w:trPr>
          <w:trHeight w:val="449" w:hRule="atLeast"/>
        </w:trPr>
        <w:tc>
          <w:tcPr>
            <w:tcW w:w="6667" w:type="dxa"/>
            <w:tcBorders>
              <w:top w:val="nil"/>
              <w:left w:val="nil"/>
              <w:bottom w:val="nil"/>
              <w:right w:val="nil"/>
            </w:tcBorders>
            <w:shd w:val="clear" w:color="000000" w:fill="33CCCC"/>
            <w:noWrap/>
            <w:vAlign w:val="bottom"/>
          </w:tcPr>
          <w:p w14:paraId="33C1DAA5">
            <w:pPr>
              <w:widowControl/>
              <w:autoSpaceDE/>
              <w:autoSpaceDN/>
              <w:adjustRightInd/>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Funkcijska klasifikacija 091 Predškolsko i osnovno obrazovanje</w:t>
            </w:r>
          </w:p>
        </w:tc>
        <w:tc>
          <w:tcPr>
            <w:tcW w:w="1555" w:type="dxa"/>
            <w:tcBorders>
              <w:top w:val="nil"/>
              <w:left w:val="nil"/>
              <w:bottom w:val="nil"/>
              <w:right w:val="nil"/>
            </w:tcBorders>
            <w:shd w:val="clear" w:color="000000" w:fill="33CCCC"/>
            <w:noWrap/>
            <w:vAlign w:val="bottom"/>
          </w:tcPr>
          <w:p w14:paraId="2EEDC39C">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1.351.819,21</w:t>
            </w:r>
          </w:p>
        </w:tc>
        <w:tc>
          <w:tcPr>
            <w:tcW w:w="1852" w:type="dxa"/>
            <w:tcBorders>
              <w:top w:val="nil"/>
              <w:left w:val="nil"/>
              <w:bottom w:val="nil"/>
              <w:right w:val="nil"/>
            </w:tcBorders>
            <w:shd w:val="clear" w:color="000000" w:fill="33CCCC"/>
            <w:noWrap/>
            <w:vAlign w:val="bottom"/>
          </w:tcPr>
          <w:p w14:paraId="7275FF13">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2.312.712,29</w:t>
            </w:r>
          </w:p>
        </w:tc>
        <w:tc>
          <w:tcPr>
            <w:tcW w:w="1555" w:type="dxa"/>
            <w:tcBorders>
              <w:top w:val="nil"/>
              <w:left w:val="nil"/>
              <w:bottom w:val="nil"/>
              <w:right w:val="nil"/>
            </w:tcBorders>
            <w:shd w:val="clear" w:color="000000" w:fill="33CCCC"/>
            <w:noWrap/>
            <w:vAlign w:val="bottom"/>
          </w:tcPr>
          <w:p w14:paraId="33C78014">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2.169.486,67</w:t>
            </w:r>
          </w:p>
        </w:tc>
        <w:tc>
          <w:tcPr>
            <w:tcW w:w="1158" w:type="dxa"/>
            <w:tcBorders>
              <w:top w:val="nil"/>
              <w:left w:val="nil"/>
              <w:bottom w:val="nil"/>
              <w:right w:val="nil"/>
            </w:tcBorders>
            <w:shd w:val="clear" w:color="000000" w:fill="33CCCC"/>
            <w:noWrap/>
            <w:vAlign w:val="bottom"/>
          </w:tcPr>
          <w:p w14:paraId="078942A1">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160,49%</w:t>
            </w:r>
          </w:p>
        </w:tc>
        <w:tc>
          <w:tcPr>
            <w:tcW w:w="1158" w:type="dxa"/>
            <w:tcBorders>
              <w:top w:val="nil"/>
              <w:left w:val="nil"/>
              <w:bottom w:val="nil"/>
              <w:right w:val="nil"/>
            </w:tcBorders>
            <w:shd w:val="clear" w:color="000000" w:fill="33CCCC"/>
            <w:noWrap/>
            <w:vAlign w:val="bottom"/>
          </w:tcPr>
          <w:p w14:paraId="37CDD947">
            <w:pPr>
              <w:widowControl/>
              <w:autoSpaceDE/>
              <w:autoSpaceDN/>
              <w:adjustRightInd/>
              <w:jc w:val="right"/>
              <w:rPr>
                <w:rFonts w:ascii="Calibri" w:hAnsi="Calibri" w:eastAsia="Times New Roman" w:cs="Calibri"/>
                <w:b/>
                <w:bCs/>
                <w:color w:val="000000"/>
                <w:sz w:val="22"/>
                <w:szCs w:val="22"/>
                <w:lang w:val="en-US" w:eastAsia="en-US"/>
              </w:rPr>
            </w:pPr>
            <w:r>
              <w:rPr>
                <w:rFonts w:ascii="Calibri" w:hAnsi="Calibri" w:eastAsia="Times New Roman" w:cs="Calibri"/>
                <w:b/>
                <w:bCs/>
                <w:color w:val="000000"/>
                <w:sz w:val="22"/>
                <w:szCs w:val="22"/>
                <w:lang w:val="en-US" w:eastAsia="en-US"/>
              </w:rPr>
              <w:t>93,81%</w:t>
            </w:r>
          </w:p>
        </w:tc>
      </w:tr>
    </w:tbl>
    <w:p w14:paraId="6CBFC7D9">
      <w:pPr>
        <w:widowControl/>
        <w:autoSpaceDE/>
        <w:autoSpaceDN/>
        <w:adjustRightInd/>
        <w:spacing w:after="160" w:line="259" w:lineRule="auto"/>
        <w:rPr>
          <w:rFonts w:ascii="Arial" w:hAnsi="Arial" w:cs="Arial"/>
          <w:b/>
          <w:bCs/>
          <w:spacing w:val="-8"/>
          <w:sz w:val="20"/>
          <w:szCs w:val="20"/>
        </w:rPr>
      </w:pPr>
    </w:p>
    <w:p w14:paraId="7E28263B">
      <w:pPr>
        <w:widowControl/>
        <w:autoSpaceDE/>
        <w:autoSpaceDN/>
        <w:adjustRightInd/>
        <w:spacing w:after="160" w:line="259" w:lineRule="auto"/>
        <w:rPr>
          <w:rFonts w:ascii="Arial" w:hAnsi="Arial" w:cs="Arial"/>
          <w:b/>
          <w:bCs/>
          <w:spacing w:val="-8"/>
          <w:sz w:val="20"/>
          <w:szCs w:val="20"/>
        </w:rPr>
      </w:pPr>
    </w:p>
    <w:p w14:paraId="76C063B1">
      <w:pPr>
        <w:widowControl/>
        <w:autoSpaceDE/>
        <w:autoSpaceDN/>
        <w:adjustRightInd/>
        <w:spacing w:after="160" w:line="259" w:lineRule="auto"/>
        <w:rPr>
          <w:rFonts w:ascii="Arial" w:hAnsi="Arial" w:cs="Arial"/>
          <w:b/>
          <w:bCs/>
          <w:spacing w:val="-8"/>
          <w:sz w:val="20"/>
          <w:szCs w:val="20"/>
        </w:rPr>
      </w:pPr>
    </w:p>
    <w:p w14:paraId="76AD5067">
      <w:pPr>
        <w:widowControl/>
        <w:autoSpaceDE/>
        <w:autoSpaceDN/>
        <w:adjustRightInd/>
        <w:spacing w:after="160" w:line="259" w:lineRule="auto"/>
        <w:rPr>
          <w:rFonts w:ascii="Arial" w:hAnsi="Arial" w:cs="Arial"/>
          <w:b/>
          <w:bCs/>
          <w:spacing w:val="-8"/>
          <w:sz w:val="20"/>
          <w:szCs w:val="20"/>
        </w:rPr>
      </w:pPr>
    </w:p>
    <w:p w14:paraId="7C6207BF">
      <w:pPr>
        <w:widowControl/>
        <w:autoSpaceDE/>
        <w:autoSpaceDN/>
        <w:adjustRightInd/>
        <w:spacing w:after="160" w:line="259" w:lineRule="auto"/>
        <w:rPr>
          <w:rFonts w:ascii="Arial" w:hAnsi="Arial" w:cs="Arial"/>
          <w:b/>
          <w:bCs/>
          <w:spacing w:val="-8"/>
          <w:sz w:val="20"/>
          <w:szCs w:val="20"/>
        </w:rPr>
      </w:pPr>
    </w:p>
    <w:p w14:paraId="69632490">
      <w:pPr>
        <w:widowControl/>
        <w:autoSpaceDE/>
        <w:autoSpaceDN/>
        <w:adjustRightInd/>
        <w:spacing w:after="160" w:line="259" w:lineRule="auto"/>
        <w:rPr>
          <w:rFonts w:ascii="Arial" w:hAnsi="Arial" w:cs="Arial"/>
          <w:b/>
          <w:bCs/>
          <w:spacing w:val="-8"/>
          <w:sz w:val="20"/>
          <w:szCs w:val="20"/>
        </w:rPr>
      </w:pPr>
    </w:p>
    <w:p w14:paraId="64364B95">
      <w:pPr>
        <w:widowControl/>
        <w:autoSpaceDE/>
        <w:autoSpaceDN/>
        <w:adjustRightInd/>
        <w:spacing w:after="160" w:line="259" w:lineRule="auto"/>
        <w:rPr>
          <w:rFonts w:ascii="Arial" w:hAnsi="Arial" w:cs="Arial"/>
          <w:b/>
          <w:bCs/>
          <w:spacing w:val="-8"/>
          <w:sz w:val="20"/>
          <w:szCs w:val="20"/>
        </w:rPr>
      </w:pPr>
    </w:p>
    <w:p w14:paraId="6A258690">
      <w:pPr>
        <w:widowControl/>
        <w:autoSpaceDE/>
        <w:autoSpaceDN/>
        <w:adjustRightInd/>
        <w:spacing w:after="160" w:line="259" w:lineRule="auto"/>
        <w:rPr>
          <w:rFonts w:ascii="Arial" w:hAnsi="Arial" w:cs="Arial"/>
          <w:b/>
          <w:bCs/>
          <w:spacing w:val="-8"/>
          <w:sz w:val="20"/>
          <w:szCs w:val="20"/>
        </w:rPr>
      </w:pPr>
    </w:p>
    <w:p w14:paraId="1C54C76A">
      <w:pPr>
        <w:widowControl/>
        <w:autoSpaceDE/>
        <w:autoSpaceDN/>
        <w:adjustRightInd/>
        <w:spacing w:after="160" w:line="259" w:lineRule="auto"/>
        <w:rPr>
          <w:rFonts w:ascii="Arial" w:hAnsi="Arial" w:cs="Arial"/>
          <w:b/>
          <w:bCs/>
          <w:spacing w:val="-8"/>
          <w:sz w:val="20"/>
          <w:szCs w:val="20"/>
        </w:rPr>
      </w:pPr>
    </w:p>
    <w:p w14:paraId="039DB929">
      <w:pPr>
        <w:widowControl/>
        <w:autoSpaceDE/>
        <w:autoSpaceDN/>
        <w:adjustRightInd/>
        <w:spacing w:after="160" w:line="259" w:lineRule="auto"/>
        <w:rPr>
          <w:rFonts w:ascii="Arial" w:hAnsi="Arial" w:cs="Arial"/>
          <w:b/>
          <w:bCs/>
          <w:spacing w:val="-8"/>
          <w:sz w:val="20"/>
          <w:szCs w:val="20"/>
        </w:rPr>
      </w:pPr>
    </w:p>
    <w:p w14:paraId="0A975C66">
      <w:pPr>
        <w:widowControl/>
        <w:autoSpaceDE/>
        <w:autoSpaceDN/>
        <w:adjustRightInd/>
        <w:spacing w:after="160" w:line="259" w:lineRule="auto"/>
        <w:rPr>
          <w:rFonts w:ascii="Arial" w:hAnsi="Arial" w:cs="Arial"/>
          <w:b/>
          <w:bCs/>
          <w:spacing w:val="-8"/>
          <w:sz w:val="20"/>
          <w:szCs w:val="20"/>
        </w:rPr>
      </w:pPr>
    </w:p>
    <w:p w14:paraId="4D325534">
      <w:pPr>
        <w:widowControl/>
        <w:autoSpaceDE/>
        <w:autoSpaceDN/>
        <w:adjustRightInd/>
        <w:spacing w:after="160" w:line="259" w:lineRule="auto"/>
        <w:rPr>
          <w:rFonts w:ascii="Arial" w:hAnsi="Arial" w:cs="Arial"/>
          <w:b/>
          <w:bCs/>
          <w:spacing w:val="-8"/>
          <w:sz w:val="20"/>
          <w:szCs w:val="20"/>
        </w:rPr>
      </w:pPr>
    </w:p>
    <w:p w14:paraId="307A3D4D">
      <w:pPr>
        <w:widowControl/>
        <w:autoSpaceDE/>
        <w:autoSpaceDN/>
        <w:adjustRightInd/>
        <w:spacing w:after="160" w:line="259" w:lineRule="auto"/>
        <w:rPr>
          <w:rFonts w:ascii="Arial" w:hAnsi="Arial" w:cs="Arial"/>
          <w:b/>
          <w:bCs/>
          <w:spacing w:val="-8"/>
          <w:sz w:val="20"/>
          <w:szCs w:val="20"/>
        </w:rPr>
      </w:pPr>
    </w:p>
    <w:p w14:paraId="553266C2">
      <w:pPr>
        <w:pStyle w:val="15"/>
        <w:widowControl/>
        <w:numPr>
          <w:ilvl w:val="0"/>
          <w:numId w:val="3"/>
        </w:numPr>
        <w:autoSpaceDE/>
        <w:autoSpaceDN/>
        <w:adjustRightInd/>
        <w:spacing w:after="160" w:line="259" w:lineRule="auto"/>
        <w:rPr>
          <w:rFonts w:ascii="Arial" w:hAnsi="Arial" w:cs="Arial"/>
          <w:b/>
          <w:bCs/>
          <w:spacing w:val="-8"/>
          <w:sz w:val="20"/>
          <w:szCs w:val="20"/>
        </w:rPr>
      </w:pPr>
      <w:r>
        <w:rPr>
          <w:rFonts w:ascii="Arial" w:hAnsi="Arial" w:cs="Arial"/>
          <w:b/>
          <w:bCs/>
          <w:spacing w:val="-8"/>
          <w:sz w:val="20"/>
          <w:szCs w:val="20"/>
        </w:rPr>
        <w:t>RAČUN FINANCIRANJA</w:t>
      </w:r>
    </w:p>
    <w:tbl>
      <w:tblPr>
        <w:tblStyle w:val="4"/>
        <w:tblW w:w="13825" w:type="dxa"/>
        <w:tblInd w:w="0" w:type="dxa"/>
        <w:tblLayout w:type="autofit"/>
        <w:tblCellMar>
          <w:top w:w="0" w:type="dxa"/>
          <w:left w:w="108" w:type="dxa"/>
          <w:bottom w:w="0" w:type="dxa"/>
          <w:right w:w="108" w:type="dxa"/>
        </w:tblCellMar>
      </w:tblPr>
      <w:tblGrid>
        <w:gridCol w:w="5864"/>
        <w:gridCol w:w="1700"/>
        <w:gridCol w:w="2024"/>
        <w:gridCol w:w="1700"/>
        <w:gridCol w:w="1267"/>
        <w:gridCol w:w="1270"/>
      </w:tblGrid>
      <w:tr w14:paraId="425FB142">
        <w:tblPrEx>
          <w:tblCellMar>
            <w:top w:w="0" w:type="dxa"/>
            <w:left w:w="108" w:type="dxa"/>
            <w:bottom w:w="0" w:type="dxa"/>
            <w:right w:w="108" w:type="dxa"/>
          </w:tblCellMar>
        </w:tblPrEx>
        <w:trPr>
          <w:trHeight w:val="487" w:hRule="atLeast"/>
        </w:trPr>
        <w:tc>
          <w:tcPr>
            <w:tcW w:w="13825" w:type="dxa"/>
            <w:gridSpan w:val="6"/>
            <w:tcBorders>
              <w:top w:val="nil"/>
              <w:left w:val="nil"/>
              <w:bottom w:val="nil"/>
              <w:right w:val="nil"/>
            </w:tcBorders>
            <w:shd w:val="clear" w:color="auto" w:fill="auto"/>
            <w:noWrap/>
            <w:vAlign w:val="bottom"/>
          </w:tcPr>
          <w:p w14:paraId="27F3786D">
            <w:pPr>
              <w:widowControl/>
              <w:autoSpaceDE/>
              <w:autoSpaceDN/>
              <w:adjustRightInd/>
              <w:jc w:val="center"/>
              <w:rPr>
                <w:rFonts w:ascii="Calibri" w:hAnsi="Calibri" w:eastAsia="Times New Roman" w:cs="Calibri"/>
                <w:b/>
                <w:bCs/>
                <w:sz w:val="28"/>
                <w:szCs w:val="28"/>
                <w:lang w:val="en-US" w:eastAsia="en-US"/>
              </w:rPr>
            </w:pPr>
            <w:r>
              <w:rPr>
                <w:rFonts w:ascii="Calibri" w:hAnsi="Calibri" w:eastAsia="Times New Roman" w:cs="Calibri"/>
                <w:b/>
                <w:bCs/>
                <w:sz w:val="28"/>
                <w:szCs w:val="28"/>
                <w:lang w:val="en-US" w:eastAsia="en-US"/>
              </w:rPr>
              <w:t>Račun financiranja prema ekonomskoj klasifikaciji</w:t>
            </w:r>
          </w:p>
        </w:tc>
      </w:tr>
      <w:tr w14:paraId="246B642D">
        <w:tblPrEx>
          <w:tblCellMar>
            <w:top w:w="0" w:type="dxa"/>
            <w:left w:w="108" w:type="dxa"/>
            <w:bottom w:w="0" w:type="dxa"/>
            <w:right w:w="108" w:type="dxa"/>
          </w:tblCellMar>
        </w:tblPrEx>
        <w:trPr>
          <w:trHeight w:val="389" w:hRule="atLeast"/>
        </w:trPr>
        <w:tc>
          <w:tcPr>
            <w:tcW w:w="13825" w:type="dxa"/>
            <w:gridSpan w:val="6"/>
            <w:tcBorders>
              <w:top w:val="nil"/>
              <w:left w:val="nil"/>
              <w:bottom w:val="nil"/>
              <w:right w:val="nil"/>
            </w:tcBorders>
            <w:shd w:val="clear" w:color="auto" w:fill="auto"/>
            <w:noWrap/>
            <w:vAlign w:val="bottom"/>
          </w:tcPr>
          <w:p w14:paraId="6C200BA3">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 razdoblje od 01.01.2024. do 31.12.2024.</w:t>
            </w:r>
          </w:p>
        </w:tc>
      </w:tr>
      <w:tr w14:paraId="55CE0BC8">
        <w:tblPrEx>
          <w:tblCellMar>
            <w:top w:w="0" w:type="dxa"/>
            <w:left w:w="108" w:type="dxa"/>
            <w:bottom w:w="0" w:type="dxa"/>
            <w:right w:w="108" w:type="dxa"/>
          </w:tblCellMar>
        </w:tblPrEx>
        <w:trPr>
          <w:trHeight w:val="389" w:hRule="atLeast"/>
        </w:trPr>
        <w:tc>
          <w:tcPr>
            <w:tcW w:w="13825" w:type="dxa"/>
            <w:gridSpan w:val="6"/>
            <w:tcBorders>
              <w:top w:val="nil"/>
              <w:left w:val="nil"/>
              <w:bottom w:val="nil"/>
              <w:right w:val="nil"/>
            </w:tcBorders>
            <w:shd w:val="clear" w:color="auto" w:fill="auto"/>
            <w:noWrap/>
            <w:vAlign w:val="bottom"/>
          </w:tcPr>
          <w:p w14:paraId="46EEE4D8">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AB8B64C">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000000" w:fill="C0C0C0"/>
            <w:noWrap/>
            <w:vAlign w:val="bottom"/>
          </w:tcPr>
          <w:p w14:paraId="5CA6E54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Racun/Opis</w:t>
            </w:r>
          </w:p>
        </w:tc>
        <w:tc>
          <w:tcPr>
            <w:tcW w:w="1700" w:type="dxa"/>
            <w:tcBorders>
              <w:top w:val="nil"/>
              <w:left w:val="nil"/>
              <w:bottom w:val="nil"/>
              <w:right w:val="nil"/>
            </w:tcBorders>
            <w:shd w:val="clear" w:color="000000" w:fill="C0C0C0"/>
            <w:noWrap/>
            <w:vAlign w:val="bottom"/>
          </w:tcPr>
          <w:p w14:paraId="09B6A4AC">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2023</w:t>
            </w:r>
          </w:p>
        </w:tc>
        <w:tc>
          <w:tcPr>
            <w:tcW w:w="2024" w:type="dxa"/>
            <w:tcBorders>
              <w:top w:val="nil"/>
              <w:left w:val="nil"/>
              <w:bottom w:val="nil"/>
              <w:right w:val="nil"/>
            </w:tcBorders>
            <w:shd w:val="clear" w:color="000000" w:fill="C0C0C0"/>
            <w:noWrap/>
            <w:vAlign w:val="bottom"/>
          </w:tcPr>
          <w:p w14:paraId="3ED7FFB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Izvorni plan/rebalans 2024</w:t>
            </w:r>
          </w:p>
        </w:tc>
        <w:tc>
          <w:tcPr>
            <w:tcW w:w="1700" w:type="dxa"/>
            <w:tcBorders>
              <w:top w:val="nil"/>
              <w:left w:val="nil"/>
              <w:bottom w:val="nil"/>
              <w:right w:val="nil"/>
            </w:tcBorders>
            <w:shd w:val="clear" w:color="000000" w:fill="C0C0C0"/>
            <w:noWrap/>
            <w:vAlign w:val="bottom"/>
          </w:tcPr>
          <w:p w14:paraId="7F7A409B">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2024</w:t>
            </w:r>
          </w:p>
        </w:tc>
        <w:tc>
          <w:tcPr>
            <w:tcW w:w="1267" w:type="dxa"/>
            <w:tcBorders>
              <w:top w:val="nil"/>
              <w:left w:val="nil"/>
              <w:bottom w:val="nil"/>
              <w:right w:val="nil"/>
            </w:tcBorders>
            <w:shd w:val="clear" w:color="000000" w:fill="C0C0C0"/>
            <w:noWrap/>
            <w:vAlign w:val="bottom"/>
          </w:tcPr>
          <w:p w14:paraId="100D89CD">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3/1</w:t>
            </w:r>
          </w:p>
        </w:tc>
        <w:tc>
          <w:tcPr>
            <w:tcW w:w="1267" w:type="dxa"/>
            <w:tcBorders>
              <w:top w:val="nil"/>
              <w:left w:val="nil"/>
              <w:bottom w:val="nil"/>
              <w:right w:val="nil"/>
            </w:tcBorders>
            <w:shd w:val="clear" w:color="000000" w:fill="C0C0C0"/>
            <w:noWrap/>
            <w:vAlign w:val="bottom"/>
          </w:tcPr>
          <w:p w14:paraId="726C2AF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3/2</w:t>
            </w:r>
          </w:p>
        </w:tc>
      </w:tr>
      <w:tr w14:paraId="77FF45BA">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000000" w:fill="808080"/>
            <w:noWrap/>
            <w:vAlign w:val="bottom"/>
          </w:tcPr>
          <w:p w14:paraId="5B364B90">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B. RAČUN ZADUŽIVANJA FINANCIRANJA</w:t>
            </w:r>
          </w:p>
        </w:tc>
        <w:tc>
          <w:tcPr>
            <w:tcW w:w="1700" w:type="dxa"/>
            <w:tcBorders>
              <w:top w:val="nil"/>
              <w:left w:val="nil"/>
              <w:bottom w:val="nil"/>
              <w:right w:val="nil"/>
            </w:tcBorders>
            <w:shd w:val="clear" w:color="000000" w:fill="808080"/>
            <w:noWrap/>
            <w:vAlign w:val="bottom"/>
          </w:tcPr>
          <w:p w14:paraId="4CFDB7DE">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1</w:t>
            </w:r>
          </w:p>
        </w:tc>
        <w:tc>
          <w:tcPr>
            <w:tcW w:w="2024" w:type="dxa"/>
            <w:tcBorders>
              <w:top w:val="nil"/>
              <w:left w:val="nil"/>
              <w:bottom w:val="nil"/>
              <w:right w:val="nil"/>
            </w:tcBorders>
            <w:shd w:val="clear" w:color="000000" w:fill="808080"/>
            <w:noWrap/>
            <w:vAlign w:val="bottom"/>
          </w:tcPr>
          <w:p w14:paraId="3C839059">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w:t>
            </w:r>
          </w:p>
        </w:tc>
        <w:tc>
          <w:tcPr>
            <w:tcW w:w="1700" w:type="dxa"/>
            <w:tcBorders>
              <w:top w:val="nil"/>
              <w:left w:val="nil"/>
              <w:bottom w:val="nil"/>
              <w:right w:val="nil"/>
            </w:tcBorders>
            <w:shd w:val="clear" w:color="000000" w:fill="808080"/>
            <w:noWrap/>
            <w:vAlign w:val="bottom"/>
          </w:tcPr>
          <w:p w14:paraId="1E4571DD">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3</w:t>
            </w:r>
          </w:p>
        </w:tc>
        <w:tc>
          <w:tcPr>
            <w:tcW w:w="1267" w:type="dxa"/>
            <w:tcBorders>
              <w:top w:val="nil"/>
              <w:left w:val="nil"/>
              <w:bottom w:val="nil"/>
              <w:right w:val="nil"/>
            </w:tcBorders>
            <w:shd w:val="clear" w:color="000000" w:fill="808080"/>
            <w:noWrap/>
            <w:vAlign w:val="bottom"/>
          </w:tcPr>
          <w:p w14:paraId="692DE25B">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4</w:t>
            </w:r>
          </w:p>
        </w:tc>
        <w:tc>
          <w:tcPr>
            <w:tcW w:w="1267" w:type="dxa"/>
            <w:tcBorders>
              <w:top w:val="nil"/>
              <w:left w:val="nil"/>
              <w:bottom w:val="nil"/>
              <w:right w:val="nil"/>
            </w:tcBorders>
            <w:shd w:val="clear" w:color="000000" w:fill="808080"/>
            <w:noWrap/>
            <w:vAlign w:val="bottom"/>
          </w:tcPr>
          <w:p w14:paraId="2051AA4E">
            <w:pPr>
              <w:widowControl/>
              <w:autoSpaceDE/>
              <w:autoSpaceDN/>
              <w:adjustRightInd/>
              <w:jc w:val="center"/>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5</w:t>
            </w:r>
          </w:p>
        </w:tc>
      </w:tr>
      <w:tr w14:paraId="7CE5A299">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000000" w:fill="808080"/>
            <w:noWrap/>
            <w:vAlign w:val="bottom"/>
          </w:tcPr>
          <w:p w14:paraId="1722F725">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xml:space="preserve"> NETO FINANCIRANJE</w:t>
            </w:r>
          </w:p>
        </w:tc>
        <w:tc>
          <w:tcPr>
            <w:tcW w:w="1700" w:type="dxa"/>
            <w:tcBorders>
              <w:top w:val="nil"/>
              <w:left w:val="nil"/>
              <w:bottom w:val="nil"/>
              <w:right w:val="nil"/>
            </w:tcBorders>
            <w:shd w:val="clear" w:color="000000" w:fill="808080"/>
            <w:noWrap/>
            <w:vAlign w:val="bottom"/>
          </w:tcPr>
          <w:p w14:paraId="3370029C">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2024" w:type="dxa"/>
            <w:tcBorders>
              <w:top w:val="nil"/>
              <w:left w:val="nil"/>
              <w:bottom w:val="nil"/>
              <w:right w:val="nil"/>
            </w:tcBorders>
            <w:shd w:val="clear" w:color="000000" w:fill="808080"/>
            <w:noWrap/>
            <w:vAlign w:val="bottom"/>
          </w:tcPr>
          <w:p w14:paraId="6B20EF0A">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65.000,00</w:t>
            </w:r>
          </w:p>
        </w:tc>
        <w:tc>
          <w:tcPr>
            <w:tcW w:w="1700" w:type="dxa"/>
            <w:tcBorders>
              <w:top w:val="nil"/>
              <w:left w:val="nil"/>
              <w:bottom w:val="nil"/>
              <w:right w:val="nil"/>
            </w:tcBorders>
            <w:shd w:val="clear" w:color="000000" w:fill="808080"/>
            <w:noWrap/>
            <w:vAlign w:val="bottom"/>
          </w:tcPr>
          <w:p w14:paraId="697F40B3">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1267" w:type="dxa"/>
            <w:tcBorders>
              <w:top w:val="nil"/>
              <w:left w:val="nil"/>
              <w:bottom w:val="nil"/>
              <w:right w:val="nil"/>
            </w:tcBorders>
            <w:shd w:val="clear" w:color="000000" w:fill="808080"/>
            <w:noWrap/>
            <w:vAlign w:val="bottom"/>
          </w:tcPr>
          <w:p w14:paraId="51E20CC9">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1267" w:type="dxa"/>
            <w:tcBorders>
              <w:top w:val="nil"/>
              <w:left w:val="nil"/>
              <w:bottom w:val="nil"/>
              <w:right w:val="nil"/>
            </w:tcBorders>
            <w:shd w:val="clear" w:color="000000" w:fill="808080"/>
            <w:noWrap/>
            <w:vAlign w:val="bottom"/>
          </w:tcPr>
          <w:p w14:paraId="68115B3A">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r>
      <w:tr w14:paraId="3AF1FF4E">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auto" w:fill="auto"/>
            <w:noWrap/>
            <w:vAlign w:val="bottom"/>
          </w:tcPr>
          <w:p w14:paraId="109BC251">
            <w:pPr>
              <w:widowControl/>
              <w:autoSpaceDE/>
              <w:autoSpaceDN/>
              <w:adjustRightInd/>
              <w:jc w:val="right"/>
              <w:rPr>
                <w:rFonts w:ascii="Calibri" w:hAnsi="Calibri" w:eastAsia="Times New Roman" w:cs="Calibri"/>
                <w:b/>
                <w:bCs/>
                <w:color w:val="FFFFFF"/>
                <w:sz w:val="22"/>
                <w:szCs w:val="22"/>
                <w:lang w:val="en-US" w:eastAsia="en-US"/>
              </w:rPr>
            </w:pPr>
          </w:p>
        </w:tc>
        <w:tc>
          <w:tcPr>
            <w:tcW w:w="1700" w:type="dxa"/>
            <w:tcBorders>
              <w:top w:val="nil"/>
              <w:left w:val="nil"/>
              <w:bottom w:val="nil"/>
              <w:right w:val="nil"/>
            </w:tcBorders>
            <w:shd w:val="clear" w:color="auto" w:fill="auto"/>
            <w:noWrap/>
            <w:vAlign w:val="bottom"/>
          </w:tcPr>
          <w:p w14:paraId="427A6548">
            <w:pPr>
              <w:widowControl/>
              <w:autoSpaceDE/>
              <w:autoSpaceDN/>
              <w:adjustRightInd/>
              <w:rPr>
                <w:rFonts w:eastAsia="Times New Roman"/>
                <w:sz w:val="20"/>
                <w:szCs w:val="20"/>
                <w:lang w:val="en-US" w:eastAsia="en-US"/>
              </w:rPr>
            </w:pPr>
          </w:p>
        </w:tc>
        <w:tc>
          <w:tcPr>
            <w:tcW w:w="2024" w:type="dxa"/>
            <w:tcBorders>
              <w:top w:val="nil"/>
              <w:left w:val="nil"/>
              <w:bottom w:val="nil"/>
              <w:right w:val="nil"/>
            </w:tcBorders>
            <w:shd w:val="clear" w:color="auto" w:fill="auto"/>
            <w:noWrap/>
            <w:vAlign w:val="bottom"/>
          </w:tcPr>
          <w:p w14:paraId="6C8C5C69">
            <w:pPr>
              <w:widowControl/>
              <w:autoSpaceDE/>
              <w:autoSpaceDN/>
              <w:adjustRightInd/>
              <w:rPr>
                <w:rFonts w:eastAsia="Times New Roman"/>
                <w:sz w:val="20"/>
                <w:szCs w:val="20"/>
                <w:lang w:val="en-US" w:eastAsia="en-US"/>
              </w:rPr>
            </w:pPr>
          </w:p>
        </w:tc>
        <w:tc>
          <w:tcPr>
            <w:tcW w:w="1700" w:type="dxa"/>
            <w:tcBorders>
              <w:top w:val="nil"/>
              <w:left w:val="nil"/>
              <w:bottom w:val="nil"/>
              <w:right w:val="nil"/>
            </w:tcBorders>
            <w:shd w:val="clear" w:color="auto" w:fill="auto"/>
            <w:noWrap/>
            <w:vAlign w:val="bottom"/>
          </w:tcPr>
          <w:p w14:paraId="5FC21F81">
            <w:pPr>
              <w:widowControl/>
              <w:autoSpaceDE/>
              <w:autoSpaceDN/>
              <w:adjustRightInd/>
              <w:rPr>
                <w:rFonts w:eastAsia="Times New Roman"/>
                <w:sz w:val="20"/>
                <w:szCs w:val="20"/>
                <w:lang w:val="en-US" w:eastAsia="en-US"/>
              </w:rPr>
            </w:pPr>
          </w:p>
        </w:tc>
        <w:tc>
          <w:tcPr>
            <w:tcW w:w="1267" w:type="dxa"/>
            <w:tcBorders>
              <w:top w:val="nil"/>
              <w:left w:val="nil"/>
              <w:bottom w:val="nil"/>
              <w:right w:val="nil"/>
            </w:tcBorders>
            <w:shd w:val="clear" w:color="auto" w:fill="auto"/>
            <w:noWrap/>
            <w:vAlign w:val="bottom"/>
          </w:tcPr>
          <w:p w14:paraId="353F7F57">
            <w:pPr>
              <w:widowControl/>
              <w:autoSpaceDE/>
              <w:autoSpaceDN/>
              <w:adjustRightInd/>
              <w:rPr>
                <w:rFonts w:eastAsia="Times New Roman"/>
                <w:sz w:val="20"/>
                <w:szCs w:val="20"/>
                <w:lang w:val="en-US" w:eastAsia="en-US"/>
              </w:rPr>
            </w:pPr>
          </w:p>
        </w:tc>
        <w:tc>
          <w:tcPr>
            <w:tcW w:w="1267" w:type="dxa"/>
            <w:tcBorders>
              <w:top w:val="nil"/>
              <w:left w:val="nil"/>
              <w:bottom w:val="nil"/>
              <w:right w:val="nil"/>
            </w:tcBorders>
            <w:shd w:val="clear" w:color="auto" w:fill="auto"/>
            <w:noWrap/>
            <w:vAlign w:val="bottom"/>
          </w:tcPr>
          <w:p w14:paraId="60050086">
            <w:pPr>
              <w:widowControl/>
              <w:autoSpaceDE/>
              <w:autoSpaceDN/>
              <w:adjustRightInd/>
              <w:rPr>
                <w:rFonts w:eastAsia="Times New Roman"/>
                <w:sz w:val="20"/>
                <w:szCs w:val="20"/>
                <w:lang w:val="en-US" w:eastAsia="en-US"/>
              </w:rPr>
            </w:pPr>
          </w:p>
        </w:tc>
      </w:tr>
      <w:tr w14:paraId="1C3ECF55">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auto" w:fill="auto"/>
            <w:noWrap/>
            <w:vAlign w:val="bottom"/>
          </w:tcPr>
          <w:p w14:paraId="70DC1904">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 Vlastiti izvori</w:t>
            </w:r>
          </w:p>
        </w:tc>
        <w:tc>
          <w:tcPr>
            <w:tcW w:w="1700" w:type="dxa"/>
            <w:tcBorders>
              <w:top w:val="nil"/>
              <w:left w:val="nil"/>
              <w:bottom w:val="nil"/>
              <w:right w:val="nil"/>
            </w:tcBorders>
            <w:shd w:val="clear" w:color="auto" w:fill="auto"/>
            <w:noWrap/>
            <w:vAlign w:val="bottom"/>
          </w:tcPr>
          <w:p w14:paraId="46B8ABC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2024" w:type="dxa"/>
            <w:tcBorders>
              <w:top w:val="nil"/>
              <w:left w:val="nil"/>
              <w:bottom w:val="nil"/>
              <w:right w:val="nil"/>
            </w:tcBorders>
            <w:shd w:val="clear" w:color="auto" w:fill="auto"/>
            <w:noWrap/>
            <w:vAlign w:val="bottom"/>
          </w:tcPr>
          <w:p w14:paraId="35A3F9B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65.000,00</w:t>
            </w:r>
          </w:p>
        </w:tc>
        <w:tc>
          <w:tcPr>
            <w:tcW w:w="1700" w:type="dxa"/>
            <w:tcBorders>
              <w:top w:val="nil"/>
              <w:left w:val="nil"/>
              <w:bottom w:val="nil"/>
              <w:right w:val="nil"/>
            </w:tcBorders>
            <w:shd w:val="clear" w:color="auto" w:fill="auto"/>
            <w:noWrap/>
            <w:vAlign w:val="bottom"/>
          </w:tcPr>
          <w:p w14:paraId="6EAEDEC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67" w:type="dxa"/>
            <w:tcBorders>
              <w:top w:val="nil"/>
              <w:left w:val="nil"/>
              <w:bottom w:val="nil"/>
              <w:right w:val="nil"/>
            </w:tcBorders>
            <w:shd w:val="clear" w:color="auto" w:fill="auto"/>
            <w:noWrap/>
            <w:vAlign w:val="bottom"/>
          </w:tcPr>
          <w:p w14:paraId="45A6671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67" w:type="dxa"/>
            <w:tcBorders>
              <w:top w:val="nil"/>
              <w:left w:val="nil"/>
              <w:bottom w:val="nil"/>
              <w:right w:val="nil"/>
            </w:tcBorders>
            <w:shd w:val="clear" w:color="auto" w:fill="auto"/>
            <w:noWrap/>
            <w:vAlign w:val="bottom"/>
          </w:tcPr>
          <w:p w14:paraId="1BCCD61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35D375F9">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auto" w:fill="auto"/>
            <w:noWrap/>
            <w:vAlign w:val="bottom"/>
          </w:tcPr>
          <w:p w14:paraId="30A4BD9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92 Rezultat poslovanja</w:t>
            </w:r>
          </w:p>
        </w:tc>
        <w:tc>
          <w:tcPr>
            <w:tcW w:w="1700" w:type="dxa"/>
            <w:tcBorders>
              <w:top w:val="nil"/>
              <w:left w:val="nil"/>
              <w:bottom w:val="nil"/>
              <w:right w:val="nil"/>
            </w:tcBorders>
            <w:shd w:val="clear" w:color="auto" w:fill="auto"/>
            <w:noWrap/>
            <w:vAlign w:val="bottom"/>
          </w:tcPr>
          <w:p w14:paraId="3B09BE7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2024" w:type="dxa"/>
            <w:tcBorders>
              <w:top w:val="nil"/>
              <w:left w:val="nil"/>
              <w:bottom w:val="nil"/>
              <w:right w:val="nil"/>
            </w:tcBorders>
            <w:shd w:val="clear" w:color="auto" w:fill="auto"/>
            <w:noWrap/>
            <w:vAlign w:val="bottom"/>
          </w:tcPr>
          <w:p w14:paraId="7FDCC40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65.000,00</w:t>
            </w:r>
          </w:p>
        </w:tc>
        <w:tc>
          <w:tcPr>
            <w:tcW w:w="1700" w:type="dxa"/>
            <w:tcBorders>
              <w:top w:val="nil"/>
              <w:left w:val="nil"/>
              <w:bottom w:val="nil"/>
              <w:right w:val="nil"/>
            </w:tcBorders>
            <w:shd w:val="clear" w:color="auto" w:fill="auto"/>
            <w:noWrap/>
            <w:vAlign w:val="bottom"/>
          </w:tcPr>
          <w:p w14:paraId="535A2B5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67" w:type="dxa"/>
            <w:tcBorders>
              <w:top w:val="nil"/>
              <w:left w:val="nil"/>
              <w:bottom w:val="nil"/>
              <w:right w:val="nil"/>
            </w:tcBorders>
            <w:shd w:val="clear" w:color="auto" w:fill="auto"/>
            <w:noWrap/>
            <w:vAlign w:val="bottom"/>
          </w:tcPr>
          <w:p w14:paraId="453DBC4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267" w:type="dxa"/>
            <w:tcBorders>
              <w:top w:val="nil"/>
              <w:left w:val="nil"/>
              <w:bottom w:val="nil"/>
              <w:right w:val="nil"/>
            </w:tcBorders>
            <w:shd w:val="clear" w:color="auto" w:fill="auto"/>
            <w:noWrap/>
            <w:vAlign w:val="bottom"/>
          </w:tcPr>
          <w:p w14:paraId="6C6D3D3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74A3519F">
        <w:tblPrEx>
          <w:tblCellMar>
            <w:top w:w="0" w:type="dxa"/>
            <w:left w:w="108" w:type="dxa"/>
            <w:bottom w:w="0" w:type="dxa"/>
            <w:right w:w="108" w:type="dxa"/>
          </w:tblCellMar>
        </w:tblPrEx>
        <w:trPr>
          <w:trHeight w:val="389" w:hRule="atLeast"/>
        </w:trPr>
        <w:tc>
          <w:tcPr>
            <w:tcW w:w="5864" w:type="dxa"/>
            <w:tcBorders>
              <w:top w:val="nil"/>
              <w:left w:val="nil"/>
              <w:bottom w:val="nil"/>
              <w:right w:val="nil"/>
            </w:tcBorders>
            <w:shd w:val="clear" w:color="000000" w:fill="808080"/>
            <w:noWrap/>
            <w:vAlign w:val="bottom"/>
          </w:tcPr>
          <w:p w14:paraId="0C61B471">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xml:space="preserve"> KORIŠTENJE SREDSTAVA IZ PRETHODNIH GODINA</w:t>
            </w:r>
          </w:p>
        </w:tc>
        <w:tc>
          <w:tcPr>
            <w:tcW w:w="1700" w:type="dxa"/>
            <w:tcBorders>
              <w:top w:val="nil"/>
              <w:left w:val="nil"/>
              <w:bottom w:val="nil"/>
              <w:right w:val="nil"/>
            </w:tcBorders>
            <w:shd w:val="clear" w:color="000000" w:fill="808080"/>
            <w:noWrap/>
            <w:vAlign w:val="bottom"/>
          </w:tcPr>
          <w:p w14:paraId="1B540482">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2024" w:type="dxa"/>
            <w:tcBorders>
              <w:top w:val="nil"/>
              <w:left w:val="nil"/>
              <w:bottom w:val="nil"/>
              <w:right w:val="nil"/>
            </w:tcBorders>
            <w:shd w:val="clear" w:color="000000" w:fill="808080"/>
            <w:noWrap/>
            <w:vAlign w:val="bottom"/>
          </w:tcPr>
          <w:p w14:paraId="013D9E36">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65.000,00</w:t>
            </w:r>
          </w:p>
        </w:tc>
        <w:tc>
          <w:tcPr>
            <w:tcW w:w="1700" w:type="dxa"/>
            <w:tcBorders>
              <w:top w:val="nil"/>
              <w:left w:val="nil"/>
              <w:bottom w:val="nil"/>
              <w:right w:val="nil"/>
            </w:tcBorders>
            <w:shd w:val="clear" w:color="000000" w:fill="808080"/>
            <w:noWrap/>
            <w:vAlign w:val="bottom"/>
          </w:tcPr>
          <w:p w14:paraId="33EB2CD3">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1267" w:type="dxa"/>
            <w:tcBorders>
              <w:top w:val="nil"/>
              <w:left w:val="nil"/>
              <w:bottom w:val="nil"/>
              <w:right w:val="nil"/>
            </w:tcBorders>
            <w:shd w:val="clear" w:color="000000" w:fill="808080"/>
            <w:noWrap/>
            <w:vAlign w:val="bottom"/>
          </w:tcPr>
          <w:p w14:paraId="60235EC3">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1267" w:type="dxa"/>
            <w:tcBorders>
              <w:top w:val="nil"/>
              <w:left w:val="nil"/>
              <w:bottom w:val="nil"/>
              <w:right w:val="nil"/>
            </w:tcBorders>
            <w:shd w:val="clear" w:color="000000" w:fill="808080"/>
            <w:noWrap/>
            <w:vAlign w:val="bottom"/>
          </w:tcPr>
          <w:p w14:paraId="47F74873">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r>
    </w:tbl>
    <w:p w14:paraId="468EF89C">
      <w:pPr>
        <w:widowControl/>
        <w:autoSpaceDE/>
        <w:autoSpaceDN/>
        <w:adjustRightInd/>
        <w:spacing w:after="160" w:line="259" w:lineRule="auto"/>
        <w:rPr>
          <w:rFonts w:ascii="Arial" w:hAnsi="Arial" w:cs="Arial"/>
          <w:b/>
          <w:bCs/>
          <w:spacing w:val="-8"/>
          <w:sz w:val="20"/>
          <w:szCs w:val="20"/>
        </w:rPr>
      </w:pPr>
    </w:p>
    <w:p w14:paraId="7E28263C"/>
    <w:p w14:paraId="7E28263D"/>
    <w:p w14:paraId="7E28263E"/>
    <w:p w14:paraId="7E28263F"/>
    <w:p w14:paraId="7E282640"/>
    <w:p w14:paraId="7E282641"/>
    <w:p w14:paraId="7E282642">
      <w:pPr>
        <w:widowControl/>
        <w:autoSpaceDE/>
        <w:autoSpaceDN/>
        <w:adjustRightInd/>
        <w:spacing w:after="160" w:line="259" w:lineRule="auto"/>
        <w:rPr>
          <w:rFonts w:ascii="Arial" w:hAnsi="Arial" w:cs="Arial"/>
          <w:b/>
          <w:bCs/>
          <w:sz w:val="20"/>
          <w:szCs w:val="20"/>
        </w:rPr>
      </w:pPr>
      <w:r>
        <w:rPr>
          <w:rFonts w:ascii="Arial" w:hAnsi="Arial" w:cs="Arial"/>
          <w:b/>
          <w:bCs/>
          <w:sz w:val="20"/>
          <w:szCs w:val="20"/>
        </w:rPr>
        <w:br w:type="page"/>
      </w:r>
    </w:p>
    <w:p w14:paraId="7E28267F"/>
    <w:p w14:paraId="7E282680">
      <w:pPr>
        <w:widowControl/>
        <w:autoSpaceDE/>
        <w:autoSpaceDN/>
        <w:adjustRightInd/>
        <w:spacing w:after="160" w:line="259" w:lineRule="auto"/>
        <w:rPr>
          <w:rFonts w:ascii="Arial" w:hAnsi="Arial" w:cs="Arial"/>
          <w:b/>
          <w:bCs/>
          <w:spacing w:val="-2"/>
          <w:sz w:val="20"/>
          <w:szCs w:val="20"/>
        </w:rPr>
      </w:pPr>
    </w:p>
    <w:p w14:paraId="7E282681">
      <w:pPr>
        <w:pStyle w:val="6"/>
        <w:numPr>
          <w:ilvl w:val="0"/>
          <w:numId w:val="4"/>
        </w:numPr>
        <w:tabs>
          <w:tab w:val="left" w:pos="403"/>
        </w:tabs>
        <w:kinsoku w:val="0"/>
        <w:overflowPunct w:val="0"/>
        <w:spacing w:before="63"/>
        <w:rPr>
          <w:rFonts w:ascii="Arial" w:hAnsi="Arial" w:cs="Arial"/>
          <w:sz w:val="20"/>
          <w:szCs w:val="20"/>
        </w:rPr>
      </w:pPr>
      <w:r>
        <w:rPr>
          <w:rFonts w:ascii="Arial" w:hAnsi="Arial" w:cs="Arial"/>
          <w:b/>
          <w:bCs/>
          <w:spacing w:val="-2"/>
          <w:sz w:val="20"/>
          <w:szCs w:val="20"/>
        </w:rPr>
        <w:t>RAČUN</w:t>
      </w:r>
      <w:r>
        <w:rPr>
          <w:rFonts w:ascii="Arial" w:hAnsi="Arial" w:cs="Arial"/>
          <w:b/>
          <w:bCs/>
          <w:spacing w:val="-11"/>
          <w:sz w:val="20"/>
          <w:szCs w:val="20"/>
        </w:rPr>
        <w:t xml:space="preserve"> </w:t>
      </w:r>
      <w:r>
        <w:rPr>
          <w:rFonts w:ascii="Arial" w:hAnsi="Arial" w:cs="Arial"/>
          <w:b/>
          <w:bCs/>
          <w:spacing w:val="-2"/>
          <w:sz w:val="20"/>
          <w:szCs w:val="20"/>
        </w:rPr>
        <w:t>FINANCIRANJA</w:t>
      </w:r>
    </w:p>
    <w:p w14:paraId="7E282682">
      <w:pPr>
        <w:pStyle w:val="6"/>
        <w:tabs>
          <w:tab w:val="left" w:pos="403"/>
        </w:tabs>
        <w:kinsoku w:val="0"/>
        <w:overflowPunct w:val="0"/>
        <w:spacing w:before="63"/>
        <w:ind w:left="720" w:firstLine="0"/>
        <w:rPr>
          <w:rFonts w:ascii="Arial" w:hAnsi="Arial" w:cs="Arial"/>
          <w:sz w:val="20"/>
          <w:szCs w:val="20"/>
        </w:rPr>
      </w:pPr>
    </w:p>
    <w:p w14:paraId="7E282683"/>
    <w:tbl>
      <w:tblPr>
        <w:tblStyle w:val="4"/>
        <w:tblW w:w="0" w:type="auto"/>
        <w:tblInd w:w="0" w:type="dxa"/>
        <w:tblLayout w:type="autofit"/>
        <w:tblCellMar>
          <w:top w:w="0" w:type="dxa"/>
          <w:left w:w="108" w:type="dxa"/>
          <w:bottom w:w="0" w:type="dxa"/>
          <w:right w:w="108" w:type="dxa"/>
        </w:tblCellMar>
      </w:tblPr>
      <w:tblGrid>
        <w:gridCol w:w="449"/>
        <w:gridCol w:w="449"/>
        <w:gridCol w:w="449"/>
        <w:gridCol w:w="449"/>
        <w:gridCol w:w="449"/>
        <w:gridCol w:w="449"/>
        <w:gridCol w:w="449"/>
        <w:gridCol w:w="449"/>
        <w:gridCol w:w="449"/>
        <w:gridCol w:w="449"/>
        <w:gridCol w:w="449"/>
        <w:gridCol w:w="457"/>
        <w:gridCol w:w="815"/>
        <w:gridCol w:w="814"/>
        <w:gridCol w:w="798"/>
        <w:gridCol w:w="797"/>
        <w:gridCol w:w="815"/>
        <w:gridCol w:w="814"/>
        <w:gridCol w:w="620"/>
        <w:gridCol w:w="619"/>
        <w:gridCol w:w="715"/>
        <w:gridCol w:w="524"/>
      </w:tblGrid>
      <w:tr w14:paraId="7E282686">
        <w:tblPrEx>
          <w:tblCellMar>
            <w:top w:w="0" w:type="dxa"/>
            <w:left w:w="108" w:type="dxa"/>
            <w:bottom w:w="0" w:type="dxa"/>
            <w:right w:w="108" w:type="dxa"/>
          </w:tblCellMar>
        </w:tblPrEx>
        <w:trPr>
          <w:trHeight w:val="348" w:hRule="atLeast"/>
        </w:trPr>
        <w:tc>
          <w:tcPr>
            <w:tcW w:w="0" w:type="auto"/>
            <w:gridSpan w:val="21"/>
            <w:tcBorders>
              <w:top w:val="nil"/>
              <w:left w:val="nil"/>
              <w:bottom w:val="nil"/>
              <w:right w:val="nil"/>
            </w:tcBorders>
            <w:shd w:val="clear" w:color="auto" w:fill="auto"/>
            <w:noWrap/>
            <w:vAlign w:val="bottom"/>
          </w:tcPr>
          <w:p w14:paraId="7E282684">
            <w:pPr>
              <w:widowControl/>
              <w:autoSpaceDE/>
              <w:autoSpaceDN/>
              <w:adjustRightInd/>
              <w:jc w:val="center"/>
              <w:rPr>
                <w:rFonts w:ascii="Arial" w:hAnsi="Arial" w:eastAsia="Times New Roman" w:cs="Arial"/>
                <w:b/>
                <w:bCs/>
                <w:sz w:val="28"/>
                <w:szCs w:val="28"/>
              </w:rPr>
            </w:pPr>
            <w:r>
              <w:rPr>
                <w:rFonts w:ascii="Arial" w:hAnsi="Arial" w:eastAsia="Times New Roman" w:cs="Arial"/>
                <w:b/>
                <w:bCs/>
                <w:sz w:val="28"/>
                <w:szCs w:val="28"/>
              </w:rPr>
              <w:t>Račun financiranja prema izvorima financiranja</w:t>
            </w:r>
          </w:p>
        </w:tc>
        <w:tc>
          <w:tcPr>
            <w:tcW w:w="0" w:type="auto"/>
            <w:tcBorders>
              <w:top w:val="nil"/>
              <w:left w:val="nil"/>
              <w:bottom w:val="nil"/>
              <w:right w:val="nil"/>
            </w:tcBorders>
            <w:shd w:val="clear" w:color="auto" w:fill="auto"/>
            <w:noWrap/>
            <w:vAlign w:val="bottom"/>
          </w:tcPr>
          <w:p w14:paraId="7E282685">
            <w:pPr>
              <w:widowControl/>
              <w:autoSpaceDE/>
              <w:autoSpaceDN/>
              <w:adjustRightInd/>
              <w:jc w:val="center"/>
              <w:rPr>
                <w:rFonts w:ascii="Arial" w:hAnsi="Arial" w:eastAsia="Times New Roman" w:cs="Arial"/>
                <w:b/>
                <w:bCs/>
                <w:sz w:val="28"/>
                <w:szCs w:val="28"/>
              </w:rPr>
            </w:pPr>
          </w:p>
        </w:tc>
      </w:tr>
      <w:tr w14:paraId="7E282689">
        <w:tblPrEx>
          <w:tblCellMar>
            <w:top w:w="0" w:type="dxa"/>
            <w:left w:w="108" w:type="dxa"/>
            <w:bottom w:w="0" w:type="dxa"/>
            <w:right w:w="108" w:type="dxa"/>
          </w:tblCellMar>
        </w:tblPrEx>
        <w:trPr>
          <w:trHeight w:val="264" w:hRule="atLeast"/>
        </w:trPr>
        <w:tc>
          <w:tcPr>
            <w:tcW w:w="0" w:type="auto"/>
            <w:gridSpan w:val="21"/>
            <w:tcBorders>
              <w:top w:val="nil"/>
              <w:left w:val="nil"/>
              <w:bottom w:val="nil"/>
              <w:right w:val="nil"/>
            </w:tcBorders>
            <w:shd w:val="clear" w:color="auto" w:fill="auto"/>
            <w:noWrap/>
            <w:vAlign w:val="bottom"/>
          </w:tcPr>
          <w:p w14:paraId="7E282687">
            <w:pPr>
              <w:widowControl/>
              <w:autoSpaceDE/>
              <w:autoSpaceDN/>
              <w:adjustRightInd/>
              <w:jc w:val="center"/>
              <w:rPr>
                <w:rFonts w:ascii="Arial" w:hAnsi="Arial" w:eastAsia="Times New Roman" w:cs="Arial"/>
                <w:sz w:val="20"/>
                <w:szCs w:val="20"/>
              </w:rPr>
            </w:pPr>
            <w:r>
              <w:rPr>
                <w:rFonts w:ascii="Arial" w:hAnsi="Arial" w:eastAsia="Times New Roman" w:cs="Arial"/>
                <w:sz w:val="20"/>
                <w:szCs w:val="20"/>
              </w:rPr>
              <w:t>Za razdoblje od 01.01.2024. do 31.12.2024.</w:t>
            </w:r>
          </w:p>
        </w:tc>
        <w:tc>
          <w:tcPr>
            <w:tcW w:w="0" w:type="auto"/>
            <w:tcBorders>
              <w:top w:val="nil"/>
              <w:left w:val="nil"/>
              <w:bottom w:val="nil"/>
              <w:right w:val="nil"/>
            </w:tcBorders>
            <w:shd w:val="clear" w:color="auto" w:fill="auto"/>
            <w:noWrap/>
            <w:vAlign w:val="bottom"/>
          </w:tcPr>
          <w:p w14:paraId="7E282688">
            <w:pPr>
              <w:widowControl/>
              <w:autoSpaceDE/>
              <w:autoSpaceDN/>
              <w:adjustRightInd/>
              <w:jc w:val="center"/>
              <w:rPr>
                <w:rFonts w:ascii="Arial" w:hAnsi="Arial" w:eastAsia="Times New Roman" w:cs="Arial"/>
                <w:sz w:val="20"/>
                <w:szCs w:val="20"/>
              </w:rPr>
            </w:pPr>
          </w:p>
        </w:tc>
      </w:tr>
      <w:tr w14:paraId="7E28268C">
        <w:tblPrEx>
          <w:tblCellMar>
            <w:top w:w="0" w:type="dxa"/>
            <w:left w:w="108" w:type="dxa"/>
            <w:bottom w:w="0" w:type="dxa"/>
            <w:right w:w="108" w:type="dxa"/>
          </w:tblCellMar>
        </w:tblPrEx>
        <w:trPr>
          <w:trHeight w:val="167" w:hRule="atLeast"/>
        </w:trPr>
        <w:tc>
          <w:tcPr>
            <w:tcW w:w="0" w:type="auto"/>
            <w:gridSpan w:val="21"/>
            <w:tcBorders>
              <w:top w:val="nil"/>
              <w:left w:val="nil"/>
              <w:bottom w:val="nil"/>
              <w:right w:val="nil"/>
            </w:tcBorders>
            <w:shd w:val="clear" w:color="auto" w:fill="auto"/>
            <w:noWrap/>
            <w:vAlign w:val="bottom"/>
          </w:tcPr>
          <w:p w14:paraId="7E28268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8B">
            <w:pPr>
              <w:widowControl/>
              <w:autoSpaceDE/>
              <w:autoSpaceDN/>
              <w:adjustRightInd/>
              <w:jc w:val="center"/>
              <w:rPr>
                <w:rFonts w:eastAsia="Times New Roman"/>
                <w:sz w:val="20"/>
                <w:szCs w:val="20"/>
              </w:rPr>
            </w:pPr>
          </w:p>
        </w:tc>
      </w:tr>
      <w:tr w14:paraId="7E2826A3">
        <w:tblPrEx>
          <w:tblCellMar>
            <w:top w:w="0" w:type="dxa"/>
            <w:left w:w="108" w:type="dxa"/>
            <w:bottom w:w="0" w:type="dxa"/>
            <w:right w:w="108" w:type="dxa"/>
          </w:tblCellMar>
        </w:tblPrEx>
        <w:trPr>
          <w:trHeight w:val="68" w:hRule="atLeast"/>
        </w:trPr>
        <w:tc>
          <w:tcPr>
            <w:tcW w:w="0" w:type="auto"/>
            <w:tcBorders>
              <w:top w:val="nil"/>
              <w:left w:val="nil"/>
              <w:bottom w:val="nil"/>
              <w:right w:val="nil"/>
            </w:tcBorders>
            <w:shd w:val="clear" w:color="auto" w:fill="auto"/>
            <w:noWrap/>
            <w:vAlign w:val="bottom"/>
          </w:tcPr>
          <w:p w14:paraId="7E28268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8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8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9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2">
            <w:pPr>
              <w:widowControl/>
              <w:autoSpaceDE/>
              <w:autoSpaceDN/>
              <w:adjustRightInd/>
              <w:rPr>
                <w:rFonts w:eastAsia="Times New Roman"/>
                <w:sz w:val="20"/>
                <w:szCs w:val="20"/>
              </w:rPr>
            </w:pPr>
          </w:p>
        </w:tc>
      </w:tr>
      <w:tr w14:paraId="7E2826BA">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14:paraId="7E2826A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A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9">
            <w:pPr>
              <w:widowControl/>
              <w:autoSpaceDE/>
              <w:autoSpaceDN/>
              <w:adjustRightInd/>
              <w:rPr>
                <w:rFonts w:eastAsia="Times New Roman"/>
                <w:sz w:val="20"/>
                <w:szCs w:val="20"/>
              </w:rPr>
            </w:pPr>
          </w:p>
        </w:tc>
      </w:tr>
      <w:tr w14:paraId="7E2826D1">
        <w:tblPrEx>
          <w:tblCellMar>
            <w:top w:w="0" w:type="dxa"/>
            <w:left w:w="108" w:type="dxa"/>
            <w:bottom w:w="0" w:type="dxa"/>
            <w:right w:w="108" w:type="dxa"/>
          </w:tblCellMar>
        </w:tblPrEx>
        <w:trPr>
          <w:trHeight w:val="68" w:hRule="atLeast"/>
        </w:trPr>
        <w:tc>
          <w:tcPr>
            <w:tcW w:w="0" w:type="auto"/>
            <w:tcBorders>
              <w:top w:val="nil"/>
              <w:left w:val="nil"/>
              <w:bottom w:val="nil"/>
              <w:right w:val="nil"/>
            </w:tcBorders>
            <w:shd w:val="clear" w:color="auto" w:fill="auto"/>
            <w:noWrap/>
            <w:vAlign w:val="bottom"/>
          </w:tcPr>
          <w:p w14:paraId="7E2826B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B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C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0">
            <w:pPr>
              <w:widowControl/>
              <w:autoSpaceDE/>
              <w:autoSpaceDN/>
              <w:adjustRightInd/>
              <w:rPr>
                <w:rFonts w:eastAsia="Times New Roman"/>
                <w:sz w:val="20"/>
                <w:szCs w:val="20"/>
              </w:rPr>
            </w:pPr>
          </w:p>
        </w:tc>
      </w:tr>
      <w:tr w14:paraId="7E2826E8">
        <w:tblPrEx>
          <w:tblCellMar>
            <w:top w:w="0" w:type="dxa"/>
            <w:left w:w="108" w:type="dxa"/>
            <w:bottom w:w="0" w:type="dxa"/>
            <w:right w:w="108" w:type="dxa"/>
          </w:tblCellMar>
        </w:tblPrEx>
        <w:trPr>
          <w:trHeight w:val="68" w:hRule="atLeast"/>
        </w:trPr>
        <w:tc>
          <w:tcPr>
            <w:tcW w:w="0" w:type="auto"/>
            <w:tcBorders>
              <w:top w:val="nil"/>
              <w:left w:val="nil"/>
              <w:bottom w:val="nil"/>
              <w:right w:val="nil"/>
            </w:tcBorders>
            <w:shd w:val="clear" w:color="auto" w:fill="auto"/>
            <w:noWrap/>
            <w:vAlign w:val="bottom"/>
          </w:tcPr>
          <w:p w14:paraId="7E2826D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D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7">
            <w:pPr>
              <w:widowControl/>
              <w:autoSpaceDE/>
              <w:autoSpaceDN/>
              <w:adjustRightInd/>
              <w:rPr>
                <w:rFonts w:eastAsia="Times New Roman"/>
                <w:sz w:val="20"/>
                <w:szCs w:val="20"/>
              </w:rPr>
            </w:pPr>
          </w:p>
        </w:tc>
      </w:tr>
      <w:tr w14:paraId="7E2826FF">
        <w:tblPrEx>
          <w:tblCellMar>
            <w:top w:w="0" w:type="dxa"/>
            <w:left w:w="108" w:type="dxa"/>
            <w:bottom w:w="0" w:type="dxa"/>
            <w:right w:w="108" w:type="dxa"/>
          </w:tblCellMar>
        </w:tblPrEx>
        <w:trPr>
          <w:trHeight w:val="264" w:hRule="atLeast"/>
        </w:trPr>
        <w:tc>
          <w:tcPr>
            <w:tcW w:w="0" w:type="auto"/>
            <w:tcBorders>
              <w:top w:val="nil"/>
              <w:left w:val="nil"/>
              <w:bottom w:val="nil"/>
              <w:right w:val="nil"/>
            </w:tcBorders>
            <w:shd w:val="clear" w:color="auto" w:fill="auto"/>
            <w:noWrap/>
            <w:vAlign w:val="bottom"/>
          </w:tcPr>
          <w:p w14:paraId="7E2826E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E">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EF">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0">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1">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2">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3">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4">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5">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6">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7">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8">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9">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A">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B">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C">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D">
            <w:pPr>
              <w:widowControl/>
              <w:autoSpaceDE/>
              <w:autoSpaceDN/>
              <w:adjustRightInd/>
              <w:rPr>
                <w:rFonts w:eastAsia="Times New Roman"/>
                <w:sz w:val="20"/>
                <w:szCs w:val="20"/>
              </w:rPr>
            </w:pPr>
          </w:p>
        </w:tc>
        <w:tc>
          <w:tcPr>
            <w:tcW w:w="0" w:type="auto"/>
            <w:tcBorders>
              <w:top w:val="nil"/>
              <w:left w:val="nil"/>
              <w:bottom w:val="nil"/>
              <w:right w:val="nil"/>
            </w:tcBorders>
            <w:shd w:val="clear" w:color="auto" w:fill="auto"/>
            <w:noWrap/>
            <w:vAlign w:val="bottom"/>
          </w:tcPr>
          <w:p w14:paraId="7E2826FE">
            <w:pPr>
              <w:widowControl/>
              <w:autoSpaceDE/>
              <w:autoSpaceDN/>
              <w:adjustRightInd/>
              <w:rPr>
                <w:rFonts w:eastAsia="Times New Roman"/>
                <w:sz w:val="20"/>
                <w:szCs w:val="20"/>
              </w:rPr>
            </w:pPr>
          </w:p>
        </w:tc>
      </w:tr>
      <w:tr w14:paraId="7E282706">
        <w:tblPrEx>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000000" w:fill="C0C0C0"/>
            <w:noWrap/>
            <w:vAlign w:val="bottom"/>
          </w:tcPr>
          <w:p w14:paraId="7E282700">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Račun / opis</w:t>
            </w:r>
          </w:p>
        </w:tc>
        <w:tc>
          <w:tcPr>
            <w:tcW w:w="0" w:type="auto"/>
            <w:gridSpan w:val="2"/>
            <w:tcBorders>
              <w:top w:val="nil"/>
              <w:left w:val="nil"/>
              <w:bottom w:val="nil"/>
              <w:right w:val="nil"/>
            </w:tcBorders>
            <w:shd w:val="clear" w:color="000000" w:fill="C0C0C0"/>
            <w:noWrap/>
            <w:vAlign w:val="bottom"/>
          </w:tcPr>
          <w:p w14:paraId="7E282701">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Izvršenje 2023.</w:t>
            </w:r>
          </w:p>
        </w:tc>
        <w:tc>
          <w:tcPr>
            <w:tcW w:w="0" w:type="auto"/>
            <w:gridSpan w:val="2"/>
            <w:tcBorders>
              <w:top w:val="nil"/>
              <w:left w:val="nil"/>
              <w:bottom w:val="nil"/>
              <w:right w:val="nil"/>
            </w:tcBorders>
            <w:shd w:val="clear" w:color="000000" w:fill="C0C0C0"/>
            <w:noWrap/>
            <w:vAlign w:val="bottom"/>
          </w:tcPr>
          <w:p w14:paraId="0D9E3193">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Izvorni plan/</w:t>
            </w:r>
          </w:p>
          <w:p w14:paraId="7E282702">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rebalans 2024.</w:t>
            </w:r>
          </w:p>
        </w:tc>
        <w:tc>
          <w:tcPr>
            <w:tcW w:w="0" w:type="auto"/>
            <w:gridSpan w:val="2"/>
            <w:tcBorders>
              <w:top w:val="nil"/>
              <w:left w:val="nil"/>
              <w:bottom w:val="nil"/>
              <w:right w:val="nil"/>
            </w:tcBorders>
            <w:shd w:val="clear" w:color="000000" w:fill="C0C0C0"/>
            <w:noWrap/>
            <w:vAlign w:val="bottom"/>
          </w:tcPr>
          <w:p w14:paraId="7E282703">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Izvršenje 2024.</w:t>
            </w:r>
          </w:p>
        </w:tc>
        <w:tc>
          <w:tcPr>
            <w:tcW w:w="0" w:type="auto"/>
            <w:gridSpan w:val="2"/>
            <w:tcBorders>
              <w:top w:val="nil"/>
              <w:left w:val="nil"/>
              <w:bottom w:val="nil"/>
              <w:right w:val="nil"/>
            </w:tcBorders>
            <w:shd w:val="clear" w:color="000000" w:fill="C0C0C0"/>
            <w:noWrap/>
            <w:vAlign w:val="bottom"/>
          </w:tcPr>
          <w:p w14:paraId="7E282704">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Indeks  3/1</w:t>
            </w:r>
          </w:p>
        </w:tc>
        <w:tc>
          <w:tcPr>
            <w:tcW w:w="0" w:type="auto"/>
            <w:gridSpan w:val="2"/>
            <w:tcBorders>
              <w:top w:val="nil"/>
              <w:left w:val="nil"/>
              <w:bottom w:val="nil"/>
              <w:right w:val="nil"/>
            </w:tcBorders>
            <w:shd w:val="clear" w:color="000000" w:fill="C0C0C0"/>
            <w:noWrap/>
            <w:vAlign w:val="bottom"/>
          </w:tcPr>
          <w:p w14:paraId="7E282705">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Indeks  3/2</w:t>
            </w:r>
          </w:p>
        </w:tc>
      </w:tr>
      <w:tr w14:paraId="7E28270D">
        <w:tblPrEx>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000000" w:fill="C0C0C0"/>
            <w:noWrap/>
            <w:vAlign w:val="bottom"/>
          </w:tcPr>
          <w:p w14:paraId="7E282707">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B. RAČUN ZADUŽIVANJA FINANCIRANJA</w:t>
            </w:r>
          </w:p>
        </w:tc>
        <w:tc>
          <w:tcPr>
            <w:tcW w:w="0" w:type="auto"/>
            <w:gridSpan w:val="2"/>
            <w:tcBorders>
              <w:top w:val="nil"/>
              <w:left w:val="nil"/>
              <w:bottom w:val="nil"/>
              <w:right w:val="nil"/>
            </w:tcBorders>
            <w:shd w:val="clear" w:color="000000" w:fill="C0C0C0"/>
            <w:noWrap/>
            <w:vAlign w:val="bottom"/>
          </w:tcPr>
          <w:p w14:paraId="7E282708">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1</w:t>
            </w:r>
          </w:p>
        </w:tc>
        <w:tc>
          <w:tcPr>
            <w:tcW w:w="0" w:type="auto"/>
            <w:gridSpan w:val="2"/>
            <w:tcBorders>
              <w:top w:val="nil"/>
              <w:left w:val="nil"/>
              <w:bottom w:val="nil"/>
              <w:right w:val="nil"/>
            </w:tcBorders>
            <w:shd w:val="clear" w:color="000000" w:fill="C0C0C0"/>
            <w:noWrap/>
            <w:vAlign w:val="bottom"/>
          </w:tcPr>
          <w:p w14:paraId="7E282709">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2</w:t>
            </w:r>
          </w:p>
        </w:tc>
        <w:tc>
          <w:tcPr>
            <w:tcW w:w="0" w:type="auto"/>
            <w:gridSpan w:val="2"/>
            <w:tcBorders>
              <w:top w:val="nil"/>
              <w:left w:val="nil"/>
              <w:bottom w:val="nil"/>
              <w:right w:val="nil"/>
            </w:tcBorders>
            <w:shd w:val="clear" w:color="000000" w:fill="C0C0C0"/>
            <w:noWrap/>
            <w:vAlign w:val="bottom"/>
          </w:tcPr>
          <w:p w14:paraId="7E28270A">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3</w:t>
            </w:r>
          </w:p>
        </w:tc>
        <w:tc>
          <w:tcPr>
            <w:tcW w:w="0" w:type="auto"/>
            <w:gridSpan w:val="2"/>
            <w:tcBorders>
              <w:top w:val="nil"/>
              <w:left w:val="nil"/>
              <w:bottom w:val="nil"/>
              <w:right w:val="nil"/>
            </w:tcBorders>
            <w:shd w:val="clear" w:color="000000" w:fill="C0C0C0"/>
            <w:noWrap/>
            <w:vAlign w:val="bottom"/>
          </w:tcPr>
          <w:p w14:paraId="7E28270B">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4</w:t>
            </w:r>
          </w:p>
        </w:tc>
        <w:tc>
          <w:tcPr>
            <w:tcW w:w="0" w:type="auto"/>
            <w:gridSpan w:val="2"/>
            <w:tcBorders>
              <w:top w:val="nil"/>
              <w:left w:val="nil"/>
              <w:bottom w:val="nil"/>
              <w:right w:val="nil"/>
            </w:tcBorders>
            <w:shd w:val="clear" w:color="000000" w:fill="C0C0C0"/>
            <w:noWrap/>
            <w:vAlign w:val="bottom"/>
          </w:tcPr>
          <w:p w14:paraId="7E28270C">
            <w:pPr>
              <w:widowControl/>
              <w:autoSpaceDE/>
              <w:autoSpaceDN/>
              <w:adjustRightInd/>
              <w:jc w:val="center"/>
              <w:rPr>
                <w:rFonts w:ascii="Arial" w:hAnsi="Arial" w:eastAsia="Times New Roman" w:cs="Arial"/>
                <w:b/>
                <w:bCs/>
                <w:sz w:val="20"/>
                <w:szCs w:val="20"/>
              </w:rPr>
            </w:pPr>
            <w:r>
              <w:rPr>
                <w:rFonts w:ascii="Arial" w:hAnsi="Arial" w:eastAsia="Times New Roman" w:cs="Arial"/>
                <w:b/>
                <w:bCs/>
                <w:sz w:val="20"/>
                <w:szCs w:val="20"/>
              </w:rPr>
              <w:t>5</w:t>
            </w:r>
          </w:p>
        </w:tc>
      </w:tr>
      <w:tr w14:paraId="7E282714">
        <w:tblPrEx>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000000" w:fill="808080"/>
            <w:noWrap/>
            <w:vAlign w:val="bottom"/>
          </w:tcPr>
          <w:p w14:paraId="7E28270E">
            <w:pPr>
              <w:widowControl/>
              <w:autoSpaceDE/>
              <w:autoSpaceDN/>
              <w:adjustRightInd/>
              <w:rPr>
                <w:rFonts w:ascii="Arial" w:hAnsi="Arial" w:eastAsia="Times New Roman" w:cs="Arial"/>
                <w:b/>
                <w:bCs/>
                <w:color w:val="FFFFFF"/>
                <w:sz w:val="20"/>
                <w:szCs w:val="20"/>
              </w:rPr>
            </w:pPr>
            <w:r>
              <w:rPr>
                <w:rFonts w:ascii="Arial" w:hAnsi="Arial" w:eastAsia="Times New Roman" w:cs="Arial"/>
                <w:b/>
                <w:bCs/>
                <w:color w:val="FFFFFF"/>
                <w:sz w:val="20"/>
                <w:szCs w:val="20"/>
              </w:rPr>
              <w:t xml:space="preserve"> KORIŠTENJE SREDSTAVA IZ PRETHODNIH GODINA</w:t>
            </w:r>
          </w:p>
        </w:tc>
        <w:tc>
          <w:tcPr>
            <w:tcW w:w="0" w:type="auto"/>
            <w:gridSpan w:val="2"/>
            <w:tcBorders>
              <w:top w:val="nil"/>
              <w:left w:val="nil"/>
              <w:bottom w:val="nil"/>
              <w:right w:val="nil"/>
            </w:tcBorders>
            <w:shd w:val="clear" w:color="000000" w:fill="808080"/>
            <w:noWrap/>
            <w:vAlign w:val="bottom"/>
          </w:tcPr>
          <w:p w14:paraId="7E28270F">
            <w:pPr>
              <w:widowControl/>
              <w:autoSpaceDE/>
              <w:autoSpaceDN/>
              <w:adjustRightInd/>
              <w:jc w:val="right"/>
              <w:rPr>
                <w:rFonts w:ascii="Arial" w:hAnsi="Arial" w:eastAsia="Times New Roman" w:cs="Arial"/>
                <w:b/>
                <w:bCs/>
                <w:color w:val="FFFFFF"/>
                <w:sz w:val="20"/>
                <w:szCs w:val="20"/>
              </w:rPr>
            </w:pPr>
            <w:r>
              <w:rPr>
                <w:rFonts w:ascii="Arial" w:hAnsi="Arial" w:eastAsia="Times New Roman" w:cs="Arial"/>
                <w:b/>
                <w:bCs/>
                <w:color w:val="FFFFFF"/>
                <w:sz w:val="20"/>
                <w:szCs w:val="20"/>
              </w:rPr>
              <w:t> </w:t>
            </w:r>
          </w:p>
        </w:tc>
        <w:tc>
          <w:tcPr>
            <w:tcW w:w="0" w:type="auto"/>
            <w:gridSpan w:val="2"/>
            <w:tcBorders>
              <w:top w:val="nil"/>
              <w:left w:val="nil"/>
              <w:bottom w:val="nil"/>
              <w:right w:val="nil"/>
            </w:tcBorders>
            <w:shd w:val="clear" w:color="000000" w:fill="808080"/>
            <w:noWrap/>
            <w:vAlign w:val="bottom"/>
          </w:tcPr>
          <w:p w14:paraId="7E282710">
            <w:pPr>
              <w:widowControl/>
              <w:autoSpaceDE/>
              <w:autoSpaceDN/>
              <w:adjustRightInd/>
              <w:jc w:val="right"/>
              <w:rPr>
                <w:rFonts w:ascii="Arial" w:hAnsi="Arial" w:eastAsia="Times New Roman" w:cs="Arial"/>
                <w:b/>
                <w:bCs/>
                <w:color w:val="FFFFFF"/>
                <w:sz w:val="20"/>
                <w:szCs w:val="20"/>
              </w:rPr>
            </w:pPr>
            <w:r>
              <w:rPr>
                <w:rFonts w:ascii="Arial" w:hAnsi="Arial" w:eastAsia="Times New Roman" w:cs="Arial"/>
                <w:b/>
                <w:bCs/>
                <w:color w:val="FFFFFF"/>
                <w:sz w:val="20"/>
                <w:szCs w:val="20"/>
              </w:rPr>
              <w:t>65.000,00</w:t>
            </w:r>
          </w:p>
        </w:tc>
        <w:tc>
          <w:tcPr>
            <w:tcW w:w="0" w:type="auto"/>
            <w:gridSpan w:val="2"/>
            <w:tcBorders>
              <w:top w:val="nil"/>
              <w:left w:val="nil"/>
              <w:bottom w:val="nil"/>
              <w:right w:val="nil"/>
            </w:tcBorders>
            <w:shd w:val="clear" w:color="000000" w:fill="808080"/>
            <w:noWrap/>
            <w:vAlign w:val="bottom"/>
          </w:tcPr>
          <w:p w14:paraId="7E282711">
            <w:pPr>
              <w:widowControl/>
              <w:autoSpaceDE/>
              <w:autoSpaceDN/>
              <w:adjustRightInd/>
              <w:jc w:val="right"/>
              <w:rPr>
                <w:rFonts w:ascii="Arial" w:hAnsi="Arial" w:eastAsia="Times New Roman" w:cs="Arial"/>
                <w:b/>
                <w:bCs/>
                <w:color w:val="FFFFFF"/>
                <w:sz w:val="20"/>
                <w:szCs w:val="20"/>
              </w:rPr>
            </w:pPr>
            <w:r>
              <w:rPr>
                <w:rFonts w:ascii="Arial" w:hAnsi="Arial" w:eastAsia="Times New Roman" w:cs="Arial"/>
                <w:b/>
                <w:bCs/>
                <w:color w:val="FFFFFF"/>
                <w:sz w:val="20"/>
                <w:szCs w:val="20"/>
              </w:rPr>
              <w:t> </w:t>
            </w:r>
          </w:p>
        </w:tc>
        <w:tc>
          <w:tcPr>
            <w:tcW w:w="0" w:type="auto"/>
            <w:gridSpan w:val="2"/>
            <w:tcBorders>
              <w:top w:val="nil"/>
              <w:left w:val="nil"/>
              <w:bottom w:val="nil"/>
              <w:right w:val="nil"/>
            </w:tcBorders>
            <w:shd w:val="clear" w:color="000000" w:fill="808080"/>
            <w:noWrap/>
            <w:vAlign w:val="bottom"/>
          </w:tcPr>
          <w:p w14:paraId="7E282712">
            <w:pPr>
              <w:widowControl/>
              <w:autoSpaceDE/>
              <w:autoSpaceDN/>
              <w:adjustRightInd/>
              <w:jc w:val="right"/>
              <w:rPr>
                <w:rFonts w:ascii="Arial" w:hAnsi="Arial" w:eastAsia="Times New Roman" w:cs="Arial"/>
                <w:b/>
                <w:bCs/>
                <w:color w:val="FFFFFF"/>
                <w:sz w:val="20"/>
                <w:szCs w:val="20"/>
              </w:rPr>
            </w:pPr>
            <w:r>
              <w:rPr>
                <w:rFonts w:ascii="Arial" w:hAnsi="Arial" w:eastAsia="Times New Roman" w:cs="Arial"/>
                <w:b/>
                <w:bCs/>
                <w:color w:val="FFFFFF"/>
                <w:sz w:val="20"/>
                <w:szCs w:val="20"/>
              </w:rPr>
              <w:t> </w:t>
            </w:r>
          </w:p>
        </w:tc>
        <w:tc>
          <w:tcPr>
            <w:tcW w:w="0" w:type="auto"/>
            <w:gridSpan w:val="2"/>
            <w:tcBorders>
              <w:top w:val="nil"/>
              <w:left w:val="nil"/>
              <w:bottom w:val="nil"/>
              <w:right w:val="nil"/>
            </w:tcBorders>
            <w:shd w:val="clear" w:color="000000" w:fill="808080"/>
            <w:noWrap/>
            <w:vAlign w:val="bottom"/>
          </w:tcPr>
          <w:p w14:paraId="7E282713">
            <w:pPr>
              <w:widowControl/>
              <w:autoSpaceDE/>
              <w:autoSpaceDN/>
              <w:adjustRightInd/>
              <w:jc w:val="right"/>
              <w:rPr>
                <w:rFonts w:ascii="Arial" w:hAnsi="Arial" w:eastAsia="Times New Roman" w:cs="Arial"/>
                <w:b/>
                <w:bCs/>
                <w:color w:val="FFFFFF"/>
                <w:sz w:val="20"/>
                <w:szCs w:val="20"/>
              </w:rPr>
            </w:pPr>
            <w:r>
              <w:rPr>
                <w:rFonts w:ascii="Arial" w:hAnsi="Arial" w:eastAsia="Times New Roman" w:cs="Arial"/>
                <w:b/>
                <w:bCs/>
                <w:color w:val="FFFFFF"/>
                <w:sz w:val="20"/>
                <w:szCs w:val="20"/>
              </w:rPr>
              <w:t> </w:t>
            </w:r>
          </w:p>
        </w:tc>
      </w:tr>
      <w:tr w14:paraId="7E28271B">
        <w:tblPrEx>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000000" w:fill="FFFF00"/>
            <w:noWrap/>
            <w:vAlign w:val="bottom"/>
          </w:tcPr>
          <w:p w14:paraId="7E282715">
            <w:pPr>
              <w:widowControl/>
              <w:autoSpaceDE/>
              <w:autoSpaceDN/>
              <w:adjustRightInd/>
              <w:rPr>
                <w:rFonts w:ascii="Arial" w:hAnsi="Arial" w:eastAsia="Times New Roman" w:cs="Arial"/>
                <w:b/>
                <w:bCs/>
                <w:sz w:val="20"/>
                <w:szCs w:val="20"/>
              </w:rPr>
            </w:pPr>
            <w:r>
              <w:rPr>
                <w:rFonts w:ascii="Arial" w:hAnsi="Arial" w:eastAsia="Times New Roman" w:cs="Arial"/>
                <w:b/>
                <w:bCs/>
                <w:sz w:val="20"/>
                <w:szCs w:val="20"/>
              </w:rPr>
              <w:t>4. Prihodi za posebne namjene</w:t>
            </w:r>
          </w:p>
        </w:tc>
        <w:tc>
          <w:tcPr>
            <w:tcW w:w="0" w:type="auto"/>
            <w:gridSpan w:val="2"/>
            <w:tcBorders>
              <w:top w:val="nil"/>
              <w:left w:val="nil"/>
              <w:bottom w:val="nil"/>
              <w:right w:val="nil"/>
            </w:tcBorders>
            <w:shd w:val="clear" w:color="000000" w:fill="FFFF00"/>
            <w:noWrap/>
            <w:vAlign w:val="bottom"/>
          </w:tcPr>
          <w:p w14:paraId="7E282716">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00"/>
            <w:noWrap/>
            <w:vAlign w:val="bottom"/>
          </w:tcPr>
          <w:p w14:paraId="7E282717">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65.000,00</w:t>
            </w:r>
          </w:p>
        </w:tc>
        <w:tc>
          <w:tcPr>
            <w:tcW w:w="0" w:type="auto"/>
            <w:gridSpan w:val="2"/>
            <w:tcBorders>
              <w:top w:val="nil"/>
              <w:left w:val="nil"/>
              <w:bottom w:val="nil"/>
              <w:right w:val="nil"/>
            </w:tcBorders>
            <w:shd w:val="clear" w:color="000000" w:fill="FFFF00"/>
            <w:noWrap/>
            <w:vAlign w:val="bottom"/>
          </w:tcPr>
          <w:p w14:paraId="7E282718">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00"/>
            <w:noWrap/>
            <w:vAlign w:val="bottom"/>
          </w:tcPr>
          <w:p w14:paraId="7E282719">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00"/>
            <w:noWrap/>
            <w:vAlign w:val="bottom"/>
          </w:tcPr>
          <w:p w14:paraId="7E28271A">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r>
      <w:tr w14:paraId="7E282722">
        <w:tblPrEx>
          <w:tblCellMar>
            <w:top w:w="0" w:type="dxa"/>
            <w:left w:w="108" w:type="dxa"/>
            <w:bottom w:w="0" w:type="dxa"/>
            <w:right w:w="108" w:type="dxa"/>
          </w:tblCellMar>
        </w:tblPrEx>
        <w:trPr>
          <w:trHeight w:val="264" w:hRule="atLeast"/>
        </w:trPr>
        <w:tc>
          <w:tcPr>
            <w:tcW w:w="0" w:type="auto"/>
            <w:gridSpan w:val="12"/>
            <w:tcBorders>
              <w:top w:val="nil"/>
              <w:left w:val="nil"/>
              <w:bottom w:val="nil"/>
              <w:right w:val="nil"/>
            </w:tcBorders>
            <w:shd w:val="clear" w:color="000000" w:fill="FFFF99"/>
            <w:noWrap/>
            <w:vAlign w:val="bottom"/>
          </w:tcPr>
          <w:p w14:paraId="7E28271C">
            <w:pPr>
              <w:widowControl/>
              <w:autoSpaceDE/>
              <w:autoSpaceDN/>
              <w:adjustRightInd/>
              <w:rPr>
                <w:rFonts w:ascii="Arial" w:hAnsi="Arial" w:eastAsia="Times New Roman" w:cs="Arial"/>
                <w:b/>
                <w:bCs/>
                <w:sz w:val="20"/>
                <w:szCs w:val="20"/>
              </w:rPr>
            </w:pPr>
            <w:r>
              <w:rPr>
                <w:rFonts w:ascii="Arial" w:hAnsi="Arial" w:eastAsia="Times New Roman" w:cs="Arial"/>
                <w:b/>
                <w:bCs/>
                <w:sz w:val="20"/>
                <w:szCs w:val="20"/>
              </w:rPr>
              <w:t>4.9. Vlastiti i namjenski prihodi proračunskih korisnika</w:t>
            </w:r>
          </w:p>
        </w:tc>
        <w:tc>
          <w:tcPr>
            <w:tcW w:w="0" w:type="auto"/>
            <w:gridSpan w:val="2"/>
            <w:tcBorders>
              <w:top w:val="nil"/>
              <w:left w:val="nil"/>
              <w:bottom w:val="nil"/>
              <w:right w:val="nil"/>
            </w:tcBorders>
            <w:shd w:val="clear" w:color="000000" w:fill="FFFF99"/>
            <w:noWrap/>
            <w:vAlign w:val="bottom"/>
          </w:tcPr>
          <w:p w14:paraId="7E28271D">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99"/>
            <w:noWrap/>
            <w:vAlign w:val="bottom"/>
          </w:tcPr>
          <w:p w14:paraId="7E28271E">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65.000,00</w:t>
            </w:r>
          </w:p>
        </w:tc>
        <w:tc>
          <w:tcPr>
            <w:tcW w:w="0" w:type="auto"/>
            <w:gridSpan w:val="2"/>
            <w:tcBorders>
              <w:top w:val="nil"/>
              <w:left w:val="nil"/>
              <w:bottom w:val="nil"/>
              <w:right w:val="nil"/>
            </w:tcBorders>
            <w:shd w:val="clear" w:color="000000" w:fill="FFFF99"/>
            <w:noWrap/>
            <w:vAlign w:val="bottom"/>
          </w:tcPr>
          <w:p w14:paraId="7E28271F">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99"/>
            <w:noWrap/>
            <w:vAlign w:val="bottom"/>
          </w:tcPr>
          <w:p w14:paraId="7E282720">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c>
          <w:tcPr>
            <w:tcW w:w="0" w:type="auto"/>
            <w:gridSpan w:val="2"/>
            <w:tcBorders>
              <w:top w:val="nil"/>
              <w:left w:val="nil"/>
              <w:bottom w:val="nil"/>
              <w:right w:val="nil"/>
            </w:tcBorders>
            <w:shd w:val="clear" w:color="000000" w:fill="FFFF99"/>
            <w:noWrap/>
            <w:vAlign w:val="bottom"/>
          </w:tcPr>
          <w:p w14:paraId="7E282721">
            <w:pPr>
              <w:widowControl/>
              <w:autoSpaceDE/>
              <w:autoSpaceDN/>
              <w:adjustRightInd/>
              <w:jc w:val="right"/>
              <w:rPr>
                <w:rFonts w:ascii="Arial" w:hAnsi="Arial" w:eastAsia="Times New Roman" w:cs="Arial"/>
                <w:b/>
                <w:bCs/>
                <w:sz w:val="20"/>
                <w:szCs w:val="20"/>
              </w:rPr>
            </w:pPr>
            <w:r>
              <w:rPr>
                <w:rFonts w:ascii="Arial" w:hAnsi="Arial" w:eastAsia="Times New Roman" w:cs="Arial"/>
                <w:b/>
                <w:bCs/>
                <w:sz w:val="20"/>
                <w:szCs w:val="20"/>
              </w:rPr>
              <w:t> </w:t>
            </w:r>
          </w:p>
        </w:tc>
      </w:tr>
    </w:tbl>
    <w:p w14:paraId="7E282723"/>
    <w:p w14:paraId="7756170A">
      <w:pPr>
        <w:widowControl/>
        <w:autoSpaceDE/>
        <w:autoSpaceDN/>
        <w:adjustRightInd/>
        <w:spacing w:after="160" w:line="259" w:lineRule="auto"/>
        <w:jc w:val="center"/>
      </w:pPr>
    </w:p>
    <w:p w14:paraId="7CC204D2">
      <w:pPr>
        <w:widowControl/>
        <w:autoSpaceDE/>
        <w:autoSpaceDN/>
        <w:adjustRightInd/>
        <w:spacing w:after="160" w:line="259" w:lineRule="auto"/>
        <w:jc w:val="center"/>
      </w:pPr>
    </w:p>
    <w:p w14:paraId="3E6C7175">
      <w:pPr>
        <w:widowControl/>
        <w:autoSpaceDE/>
        <w:autoSpaceDN/>
        <w:adjustRightInd/>
        <w:spacing w:after="160" w:line="259" w:lineRule="auto"/>
        <w:jc w:val="center"/>
      </w:pPr>
    </w:p>
    <w:p w14:paraId="6AB777B1">
      <w:pPr>
        <w:widowControl/>
        <w:autoSpaceDE/>
        <w:autoSpaceDN/>
        <w:adjustRightInd/>
        <w:spacing w:after="160" w:line="259" w:lineRule="auto"/>
        <w:jc w:val="center"/>
      </w:pPr>
    </w:p>
    <w:p w14:paraId="5959054A">
      <w:pPr>
        <w:widowControl/>
        <w:autoSpaceDE/>
        <w:autoSpaceDN/>
        <w:adjustRightInd/>
        <w:spacing w:after="160" w:line="259" w:lineRule="auto"/>
        <w:jc w:val="center"/>
      </w:pPr>
    </w:p>
    <w:p w14:paraId="5AA2E4BB">
      <w:pPr>
        <w:widowControl/>
        <w:autoSpaceDE/>
        <w:autoSpaceDN/>
        <w:adjustRightInd/>
        <w:spacing w:after="160" w:line="259" w:lineRule="auto"/>
        <w:jc w:val="center"/>
      </w:pPr>
    </w:p>
    <w:p w14:paraId="7E282725">
      <w:pPr>
        <w:widowControl/>
        <w:autoSpaceDE/>
        <w:autoSpaceDN/>
        <w:adjustRightInd/>
        <w:spacing w:after="160" w:line="259" w:lineRule="auto"/>
        <w:jc w:val="center"/>
      </w:pPr>
      <w:r>
        <w:t>II POSEBNI DIO</w:t>
      </w:r>
    </w:p>
    <w:p w14:paraId="7E282726">
      <w:pPr>
        <w:jc w:val="center"/>
      </w:pPr>
      <w:r>
        <w:t>Članak 3</w:t>
      </w:r>
    </w:p>
    <w:p w14:paraId="7E282727"/>
    <w:p w14:paraId="0F3B9566">
      <w:r>
        <w:t>Posebni</w:t>
      </w:r>
      <w:r>
        <w:rPr>
          <w:spacing w:val="46"/>
        </w:rPr>
        <w:t xml:space="preserve"> </w:t>
      </w:r>
      <w:r>
        <w:t>dio</w:t>
      </w:r>
      <w:r>
        <w:rPr>
          <w:spacing w:val="45"/>
        </w:rPr>
        <w:t xml:space="preserve"> G</w:t>
      </w:r>
      <w:r>
        <w:t>odišnjeg izvještaja</w:t>
      </w:r>
      <w:r>
        <w:rPr>
          <w:spacing w:val="44"/>
        </w:rPr>
        <w:t xml:space="preserve"> </w:t>
      </w:r>
      <w:r>
        <w:t>o</w:t>
      </w:r>
      <w:r>
        <w:rPr>
          <w:spacing w:val="45"/>
        </w:rPr>
        <w:t xml:space="preserve"> </w:t>
      </w:r>
      <w:r>
        <w:t>izvršenju financijskog plana sadržan je u izvještaju po programskoj klasifikaciji</w:t>
      </w:r>
    </w:p>
    <w:tbl>
      <w:tblPr>
        <w:tblStyle w:val="4"/>
        <w:tblpPr w:leftFromText="180" w:rightFromText="180" w:horzAnchor="margin" w:tblpXSpec="center" w:tblpY="-1410"/>
        <w:tblW w:w="15503" w:type="dxa"/>
        <w:tblInd w:w="0" w:type="dxa"/>
        <w:tblLayout w:type="autofit"/>
        <w:tblCellMar>
          <w:top w:w="0" w:type="dxa"/>
          <w:left w:w="108" w:type="dxa"/>
          <w:bottom w:w="0" w:type="dxa"/>
          <w:right w:w="108" w:type="dxa"/>
        </w:tblCellMar>
      </w:tblPr>
      <w:tblGrid>
        <w:gridCol w:w="266"/>
        <w:gridCol w:w="1944"/>
        <w:gridCol w:w="4294"/>
        <w:gridCol w:w="3111"/>
        <w:gridCol w:w="4719"/>
        <w:gridCol w:w="1169"/>
      </w:tblGrid>
      <w:tr w14:paraId="458F3816">
        <w:tblPrEx>
          <w:tblCellMar>
            <w:top w:w="0" w:type="dxa"/>
            <w:left w:w="108" w:type="dxa"/>
            <w:bottom w:w="0" w:type="dxa"/>
            <w:right w:w="108" w:type="dxa"/>
          </w:tblCellMar>
        </w:tblPrEx>
        <w:trPr>
          <w:trHeight w:val="995" w:hRule="atLeast"/>
        </w:trPr>
        <w:tc>
          <w:tcPr>
            <w:tcW w:w="15503" w:type="dxa"/>
            <w:gridSpan w:val="6"/>
            <w:tcBorders>
              <w:top w:val="single" w:color="auto" w:sz="4" w:space="0"/>
              <w:left w:val="single" w:color="auto" w:sz="4" w:space="0"/>
              <w:right w:val="single" w:color="auto" w:sz="4" w:space="0"/>
            </w:tcBorders>
            <w:shd w:val="clear" w:color="auto" w:fill="auto"/>
            <w:noWrap/>
            <w:vAlign w:val="bottom"/>
          </w:tcPr>
          <w:p w14:paraId="094146DA">
            <w:pPr>
              <w:widowControl/>
              <w:autoSpaceDE/>
              <w:autoSpaceDN/>
              <w:adjustRightInd/>
              <w:jc w:val="center"/>
              <w:rPr>
                <w:rFonts w:ascii="Calibri" w:hAnsi="Calibri" w:eastAsia="Times New Roman" w:cs="Calibri"/>
                <w:b/>
                <w:bCs/>
                <w:sz w:val="28"/>
                <w:szCs w:val="28"/>
                <w:lang w:val="en-US" w:eastAsia="en-US"/>
              </w:rPr>
            </w:pPr>
            <w:r>
              <w:rPr>
                <w:rFonts w:ascii="Calibri" w:hAnsi="Calibri" w:eastAsia="Times New Roman" w:cs="Calibri"/>
                <w:b/>
                <w:bCs/>
                <w:sz w:val="28"/>
                <w:szCs w:val="28"/>
                <w:lang w:val="en-US" w:eastAsia="en-US"/>
              </w:rPr>
              <w:t>Izvršenje po programskoj klasifikaciji</w:t>
            </w:r>
          </w:p>
          <w:p w14:paraId="2847BE70">
            <w:pPr>
              <w:widowControl/>
              <w:autoSpaceDE/>
              <w:autoSpaceDN/>
              <w:adjustRightInd/>
              <w:jc w:val="center"/>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 razdoblje od 01.01.2024. do 31.12.2024.</w:t>
            </w:r>
          </w:p>
          <w:p w14:paraId="142E0C01">
            <w:pPr>
              <w:jc w:val="center"/>
              <w:rPr>
                <w:rFonts w:ascii="Calibri" w:hAnsi="Calibri" w:eastAsia="Times New Roman" w:cs="Calibri"/>
                <w:b/>
                <w:bCs/>
                <w:sz w:val="28"/>
                <w:szCs w:val="28"/>
                <w:lang w:val="en-US" w:eastAsia="en-US"/>
              </w:rPr>
            </w:pPr>
            <w:r>
              <w:rPr>
                <w:rFonts w:ascii="Calibri" w:hAnsi="Calibri" w:eastAsia="Times New Roman" w:cs="Calibri"/>
                <w:color w:val="000000"/>
                <w:sz w:val="22"/>
                <w:szCs w:val="22"/>
                <w:lang w:val="en-US" w:eastAsia="en-US"/>
              </w:rPr>
              <w:t> </w:t>
            </w:r>
          </w:p>
        </w:tc>
      </w:tr>
      <w:tr w14:paraId="53B7A66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69696"/>
            <w:noWrap/>
            <w:vAlign w:val="bottom"/>
          </w:tcPr>
          <w:p w14:paraId="199E480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969696"/>
            <w:noWrap/>
            <w:vAlign w:val="bottom"/>
          </w:tcPr>
          <w:p w14:paraId="683F328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Organizacijska klasifikacija</w:t>
            </w:r>
          </w:p>
        </w:tc>
        <w:tc>
          <w:tcPr>
            <w:tcW w:w="3111" w:type="dxa"/>
            <w:tcBorders>
              <w:top w:val="single" w:color="auto" w:sz="4" w:space="0"/>
              <w:left w:val="nil"/>
              <w:bottom w:val="single" w:color="auto" w:sz="4" w:space="0"/>
              <w:right w:val="single" w:color="auto" w:sz="4" w:space="0"/>
            </w:tcBorders>
            <w:shd w:val="clear" w:color="000000" w:fill="969696"/>
            <w:noWrap/>
            <w:vAlign w:val="bottom"/>
          </w:tcPr>
          <w:p w14:paraId="5B823F08">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000000" w:fill="969696"/>
            <w:noWrap/>
            <w:vAlign w:val="bottom"/>
          </w:tcPr>
          <w:p w14:paraId="2EB8F584">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167" w:type="dxa"/>
            <w:tcBorders>
              <w:top w:val="single" w:color="auto" w:sz="4" w:space="0"/>
              <w:left w:val="nil"/>
              <w:bottom w:val="single" w:color="auto" w:sz="4" w:space="0"/>
              <w:right w:val="single" w:color="auto" w:sz="4" w:space="0"/>
            </w:tcBorders>
            <w:shd w:val="clear" w:color="000000" w:fill="969696"/>
            <w:noWrap/>
            <w:vAlign w:val="bottom"/>
          </w:tcPr>
          <w:p w14:paraId="08AF9A1B">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17413BD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69696"/>
            <w:noWrap/>
            <w:vAlign w:val="bottom"/>
          </w:tcPr>
          <w:p w14:paraId="477841F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969696"/>
            <w:noWrap/>
            <w:vAlign w:val="bottom"/>
          </w:tcPr>
          <w:p w14:paraId="6B86AA0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Izvori</w:t>
            </w:r>
          </w:p>
        </w:tc>
        <w:tc>
          <w:tcPr>
            <w:tcW w:w="3111" w:type="dxa"/>
            <w:tcBorders>
              <w:top w:val="single" w:color="auto" w:sz="4" w:space="0"/>
              <w:left w:val="nil"/>
              <w:bottom w:val="single" w:color="auto" w:sz="4" w:space="0"/>
              <w:right w:val="single" w:color="auto" w:sz="4" w:space="0"/>
            </w:tcBorders>
            <w:shd w:val="clear" w:color="000000" w:fill="969696"/>
            <w:noWrap/>
            <w:vAlign w:val="bottom"/>
          </w:tcPr>
          <w:p w14:paraId="28364CA0">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000000" w:fill="969696"/>
            <w:noWrap/>
            <w:vAlign w:val="bottom"/>
          </w:tcPr>
          <w:p w14:paraId="46266DDE">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167" w:type="dxa"/>
            <w:tcBorders>
              <w:top w:val="single" w:color="auto" w:sz="4" w:space="0"/>
              <w:left w:val="nil"/>
              <w:bottom w:val="single" w:color="auto" w:sz="4" w:space="0"/>
              <w:right w:val="single" w:color="auto" w:sz="4" w:space="0"/>
            </w:tcBorders>
            <w:shd w:val="clear" w:color="000000" w:fill="969696"/>
            <w:noWrap/>
            <w:vAlign w:val="bottom"/>
          </w:tcPr>
          <w:p w14:paraId="4B51AC06">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0B76B4DD">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69696"/>
            <w:noWrap/>
            <w:vAlign w:val="bottom"/>
          </w:tcPr>
          <w:p w14:paraId="3CA29DB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969696"/>
            <w:noWrap/>
            <w:vAlign w:val="bottom"/>
          </w:tcPr>
          <w:p w14:paraId="458A8A0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Projekt/Aktivnost</w:t>
            </w:r>
          </w:p>
        </w:tc>
        <w:tc>
          <w:tcPr>
            <w:tcW w:w="4293" w:type="dxa"/>
            <w:tcBorders>
              <w:top w:val="single" w:color="auto" w:sz="4" w:space="0"/>
              <w:left w:val="nil"/>
              <w:bottom w:val="single" w:color="auto" w:sz="4" w:space="0"/>
              <w:right w:val="single" w:color="auto" w:sz="4" w:space="0"/>
            </w:tcBorders>
            <w:shd w:val="clear" w:color="000000" w:fill="969696"/>
            <w:noWrap/>
            <w:vAlign w:val="bottom"/>
          </w:tcPr>
          <w:p w14:paraId="6EDDAF4A">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VRSTA RASHODA I IZDATAKA</w:t>
            </w:r>
          </w:p>
        </w:tc>
        <w:tc>
          <w:tcPr>
            <w:tcW w:w="3111" w:type="dxa"/>
            <w:tcBorders>
              <w:top w:val="single" w:color="auto" w:sz="4" w:space="0"/>
              <w:left w:val="nil"/>
              <w:bottom w:val="single" w:color="auto" w:sz="4" w:space="0"/>
              <w:right w:val="single" w:color="auto" w:sz="4" w:space="0"/>
            </w:tcBorders>
            <w:shd w:val="clear" w:color="000000" w:fill="969696"/>
            <w:noWrap/>
            <w:vAlign w:val="bottom"/>
          </w:tcPr>
          <w:p w14:paraId="499AA30B">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Izvorni plan /rebalans 2024</w:t>
            </w:r>
          </w:p>
        </w:tc>
        <w:tc>
          <w:tcPr>
            <w:tcW w:w="4719" w:type="dxa"/>
            <w:tcBorders>
              <w:top w:val="single" w:color="auto" w:sz="4" w:space="0"/>
              <w:left w:val="nil"/>
              <w:bottom w:val="single" w:color="auto" w:sz="4" w:space="0"/>
              <w:right w:val="single" w:color="auto" w:sz="4" w:space="0"/>
            </w:tcBorders>
            <w:shd w:val="clear" w:color="000000" w:fill="969696"/>
            <w:noWrap/>
            <w:vAlign w:val="bottom"/>
          </w:tcPr>
          <w:p w14:paraId="4C6DABE5">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Izvršenje 2024</w:t>
            </w:r>
          </w:p>
        </w:tc>
        <w:tc>
          <w:tcPr>
            <w:tcW w:w="1167" w:type="dxa"/>
            <w:tcBorders>
              <w:top w:val="single" w:color="auto" w:sz="4" w:space="0"/>
              <w:left w:val="nil"/>
              <w:bottom w:val="single" w:color="auto" w:sz="4" w:space="0"/>
              <w:right w:val="single" w:color="auto" w:sz="4" w:space="0"/>
            </w:tcBorders>
            <w:shd w:val="clear" w:color="000000" w:fill="969696"/>
            <w:noWrap/>
            <w:vAlign w:val="bottom"/>
          </w:tcPr>
          <w:p w14:paraId="2668544C">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Indeks 2/1</w:t>
            </w:r>
          </w:p>
        </w:tc>
      </w:tr>
      <w:tr w14:paraId="5C6B9830">
        <w:tblPrEx>
          <w:tblCellMar>
            <w:top w:w="0" w:type="dxa"/>
            <w:left w:w="108" w:type="dxa"/>
            <w:bottom w:w="0" w:type="dxa"/>
            <w:right w:w="108" w:type="dxa"/>
          </w:tblCellMar>
        </w:tblPrEx>
        <w:trPr>
          <w:trHeight w:val="300" w:hRule="atLeast"/>
        </w:trPr>
        <w:tc>
          <w:tcPr>
            <w:tcW w:w="6503" w:type="dxa"/>
            <w:gridSpan w:val="3"/>
            <w:tcBorders>
              <w:top w:val="single" w:color="auto" w:sz="4" w:space="0"/>
              <w:left w:val="single" w:color="auto" w:sz="4" w:space="0"/>
              <w:bottom w:val="single" w:color="auto" w:sz="4" w:space="0"/>
              <w:right w:val="single" w:color="auto" w:sz="4" w:space="0"/>
            </w:tcBorders>
            <w:shd w:val="clear" w:color="000000" w:fill="969696"/>
            <w:noWrap/>
            <w:vAlign w:val="bottom"/>
          </w:tcPr>
          <w:p w14:paraId="6405402D">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3111" w:type="dxa"/>
            <w:tcBorders>
              <w:top w:val="single" w:color="auto" w:sz="4" w:space="0"/>
              <w:left w:val="nil"/>
              <w:bottom w:val="single" w:color="auto" w:sz="4" w:space="0"/>
              <w:right w:val="single" w:color="auto" w:sz="4" w:space="0"/>
            </w:tcBorders>
            <w:shd w:val="clear" w:color="000000" w:fill="969696"/>
            <w:noWrap/>
            <w:vAlign w:val="bottom"/>
          </w:tcPr>
          <w:p w14:paraId="387BD98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w:t>
            </w:r>
          </w:p>
        </w:tc>
        <w:tc>
          <w:tcPr>
            <w:tcW w:w="4719" w:type="dxa"/>
            <w:tcBorders>
              <w:top w:val="single" w:color="auto" w:sz="4" w:space="0"/>
              <w:left w:val="nil"/>
              <w:bottom w:val="single" w:color="auto" w:sz="4" w:space="0"/>
              <w:right w:val="single" w:color="auto" w:sz="4" w:space="0"/>
            </w:tcBorders>
            <w:shd w:val="clear" w:color="000000" w:fill="969696"/>
            <w:noWrap/>
            <w:vAlign w:val="bottom"/>
          </w:tcPr>
          <w:p w14:paraId="025538C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w:t>
            </w:r>
          </w:p>
        </w:tc>
        <w:tc>
          <w:tcPr>
            <w:tcW w:w="1167" w:type="dxa"/>
            <w:tcBorders>
              <w:top w:val="single" w:color="auto" w:sz="4" w:space="0"/>
              <w:left w:val="nil"/>
              <w:bottom w:val="single" w:color="auto" w:sz="4" w:space="0"/>
              <w:right w:val="single" w:color="auto" w:sz="4" w:space="0"/>
            </w:tcBorders>
            <w:shd w:val="clear" w:color="000000" w:fill="969696"/>
            <w:noWrap/>
            <w:vAlign w:val="bottom"/>
          </w:tcPr>
          <w:p w14:paraId="1A702C99">
            <w:pPr>
              <w:widowControl/>
              <w:autoSpaceDE/>
              <w:autoSpaceDN/>
              <w:adjustRightInd/>
              <w:jc w:val="center"/>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w:t>
            </w:r>
          </w:p>
        </w:tc>
      </w:tr>
      <w:tr w14:paraId="411A00F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0C0C0"/>
            <w:noWrap/>
            <w:vAlign w:val="bottom"/>
          </w:tcPr>
          <w:p w14:paraId="26BA5988">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0C0C0"/>
            <w:noWrap/>
            <w:vAlign w:val="bottom"/>
          </w:tcPr>
          <w:p w14:paraId="5609860E">
            <w:pPr>
              <w:widowControl/>
              <w:autoSpaceDE/>
              <w:autoSpaceDN/>
              <w:adjustRightInd/>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UKUPNO RASHODI I IZDATCI</w:t>
            </w:r>
          </w:p>
        </w:tc>
        <w:tc>
          <w:tcPr>
            <w:tcW w:w="3111" w:type="dxa"/>
            <w:tcBorders>
              <w:top w:val="single" w:color="auto" w:sz="4" w:space="0"/>
              <w:left w:val="nil"/>
              <w:bottom w:val="single" w:color="auto" w:sz="4" w:space="0"/>
              <w:right w:val="single" w:color="auto" w:sz="4" w:space="0"/>
            </w:tcBorders>
            <w:shd w:val="clear" w:color="000000" w:fill="C0C0C0"/>
            <w:noWrap/>
            <w:vAlign w:val="bottom"/>
          </w:tcPr>
          <w:p w14:paraId="4668A426">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2.312.712,29</w:t>
            </w:r>
          </w:p>
        </w:tc>
        <w:tc>
          <w:tcPr>
            <w:tcW w:w="4719" w:type="dxa"/>
            <w:tcBorders>
              <w:top w:val="single" w:color="auto" w:sz="4" w:space="0"/>
              <w:left w:val="nil"/>
              <w:bottom w:val="single" w:color="auto" w:sz="4" w:space="0"/>
              <w:right w:val="single" w:color="auto" w:sz="4" w:space="0"/>
            </w:tcBorders>
            <w:shd w:val="clear" w:color="000000" w:fill="C0C0C0"/>
            <w:noWrap/>
            <w:vAlign w:val="bottom"/>
          </w:tcPr>
          <w:p w14:paraId="376E1036">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2.169.286,67</w:t>
            </w:r>
          </w:p>
        </w:tc>
        <w:tc>
          <w:tcPr>
            <w:tcW w:w="1167" w:type="dxa"/>
            <w:tcBorders>
              <w:top w:val="single" w:color="auto" w:sz="4" w:space="0"/>
              <w:left w:val="nil"/>
              <w:bottom w:val="single" w:color="auto" w:sz="4" w:space="0"/>
              <w:right w:val="single" w:color="auto" w:sz="4" w:space="0"/>
            </w:tcBorders>
            <w:shd w:val="clear" w:color="000000" w:fill="C0C0C0"/>
            <w:noWrap/>
            <w:vAlign w:val="bottom"/>
          </w:tcPr>
          <w:p w14:paraId="1470A942">
            <w:pPr>
              <w:widowControl/>
              <w:autoSpaceDE/>
              <w:autoSpaceDN/>
              <w:adjustRightInd/>
              <w:jc w:val="right"/>
              <w:rPr>
                <w:rFonts w:ascii="Calibri" w:hAnsi="Calibri" w:eastAsia="Times New Roman" w:cs="Calibri"/>
                <w:b/>
                <w:bCs/>
                <w:color w:val="FFFFFF"/>
                <w:sz w:val="22"/>
                <w:szCs w:val="22"/>
                <w:lang w:val="en-US" w:eastAsia="en-US"/>
              </w:rPr>
            </w:pPr>
            <w:r>
              <w:rPr>
                <w:rFonts w:ascii="Calibri" w:hAnsi="Calibri" w:eastAsia="Times New Roman" w:cs="Calibri"/>
                <w:b/>
                <w:bCs/>
                <w:color w:val="FFFFFF"/>
                <w:sz w:val="22"/>
                <w:szCs w:val="22"/>
                <w:lang w:val="en-US" w:eastAsia="en-US"/>
              </w:rPr>
              <w:t>93,80%</w:t>
            </w:r>
          </w:p>
        </w:tc>
      </w:tr>
      <w:tr w14:paraId="159BF8F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999FF"/>
            <w:noWrap/>
            <w:vAlign w:val="bottom"/>
          </w:tcPr>
          <w:p w14:paraId="1DA3380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9999FF"/>
            <w:noWrap/>
            <w:vAlign w:val="bottom"/>
          </w:tcPr>
          <w:p w14:paraId="19AA396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RAZDJEL 007 UPRAVNI ODJEL ZA OBRAZOVANJE I DEMOGRAFIJU</w:t>
            </w:r>
          </w:p>
        </w:tc>
        <w:tc>
          <w:tcPr>
            <w:tcW w:w="3111" w:type="dxa"/>
            <w:tcBorders>
              <w:top w:val="single" w:color="auto" w:sz="4" w:space="0"/>
              <w:left w:val="nil"/>
              <w:bottom w:val="single" w:color="auto" w:sz="4" w:space="0"/>
              <w:right w:val="single" w:color="auto" w:sz="4" w:space="0"/>
            </w:tcBorders>
            <w:shd w:val="clear" w:color="000000" w:fill="9999FF"/>
            <w:noWrap/>
            <w:vAlign w:val="bottom"/>
          </w:tcPr>
          <w:p w14:paraId="3268960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2.312.712,29</w:t>
            </w:r>
          </w:p>
        </w:tc>
        <w:tc>
          <w:tcPr>
            <w:tcW w:w="4719" w:type="dxa"/>
            <w:tcBorders>
              <w:top w:val="single" w:color="auto" w:sz="4" w:space="0"/>
              <w:left w:val="nil"/>
              <w:bottom w:val="single" w:color="auto" w:sz="4" w:space="0"/>
              <w:right w:val="single" w:color="auto" w:sz="4" w:space="0"/>
            </w:tcBorders>
            <w:shd w:val="clear" w:color="000000" w:fill="9999FF"/>
            <w:noWrap/>
            <w:vAlign w:val="bottom"/>
          </w:tcPr>
          <w:p w14:paraId="71508F8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2.169.286,67</w:t>
            </w:r>
          </w:p>
        </w:tc>
        <w:tc>
          <w:tcPr>
            <w:tcW w:w="1167" w:type="dxa"/>
            <w:tcBorders>
              <w:top w:val="single" w:color="auto" w:sz="4" w:space="0"/>
              <w:left w:val="nil"/>
              <w:bottom w:val="single" w:color="auto" w:sz="4" w:space="0"/>
              <w:right w:val="single" w:color="auto" w:sz="4" w:space="0"/>
            </w:tcBorders>
            <w:shd w:val="clear" w:color="000000" w:fill="9999FF"/>
            <w:noWrap/>
            <w:vAlign w:val="bottom"/>
          </w:tcPr>
          <w:p w14:paraId="3A9F8AC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93,80%</w:t>
            </w:r>
          </w:p>
        </w:tc>
      </w:tr>
      <w:tr w14:paraId="118D21E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999FF"/>
            <w:noWrap/>
            <w:vAlign w:val="bottom"/>
          </w:tcPr>
          <w:p w14:paraId="1BABF60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9999FF"/>
            <w:noWrap/>
            <w:vAlign w:val="bottom"/>
          </w:tcPr>
          <w:p w14:paraId="2F0B190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GLAVA 00702 Osnovnoškolske ustanove</w:t>
            </w:r>
          </w:p>
        </w:tc>
        <w:tc>
          <w:tcPr>
            <w:tcW w:w="3111" w:type="dxa"/>
            <w:tcBorders>
              <w:top w:val="single" w:color="auto" w:sz="4" w:space="0"/>
              <w:left w:val="nil"/>
              <w:bottom w:val="single" w:color="auto" w:sz="4" w:space="0"/>
              <w:right w:val="single" w:color="auto" w:sz="4" w:space="0"/>
            </w:tcBorders>
            <w:shd w:val="clear" w:color="000000" w:fill="9999FF"/>
            <w:noWrap/>
            <w:vAlign w:val="bottom"/>
          </w:tcPr>
          <w:p w14:paraId="57CC063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2.312.712,29</w:t>
            </w:r>
          </w:p>
        </w:tc>
        <w:tc>
          <w:tcPr>
            <w:tcW w:w="4719" w:type="dxa"/>
            <w:tcBorders>
              <w:top w:val="single" w:color="auto" w:sz="4" w:space="0"/>
              <w:left w:val="nil"/>
              <w:bottom w:val="single" w:color="auto" w:sz="4" w:space="0"/>
              <w:right w:val="single" w:color="auto" w:sz="4" w:space="0"/>
            </w:tcBorders>
            <w:shd w:val="clear" w:color="000000" w:fill="9999FF"/>
            <w:noWrap/>
            <w:vAlign w:val="bottom"/>
          </w:tcPr>
          <w:p w14:paraId="49187D8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2.169.286,67</w:t>
            </w:r>
          </w:p>
        </w:tc>
        <w:tc>
          <w:tcPr>
            <w:tcW w:w="1167" w:type="dxa"/>
            <w:tcBorders>
              <w:top w:val="single" w:color="auto" w:sz="4" w:space="0"/>
              <w:left w:val="nil"/>
              <w:bottom w:val="single" w:color="auto" w:sz="4" w:space="0"/>
              <w:right w:val="single" w:color="auto" w:sz="4" w:space="0"/>
            </w:tcBorders>
            <w:shd w:val="clear" w:color="000000" w:fill="9999FF"/>
            <w:noWrap/>
            <w:vAlign w:val="bottom"/>
          </w:tcPr>
          <w:p w14:paraId="4B9440F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93,80%</w:t>
            </w:r>
          </w:p>
        </w:tc>
      </w:tr>
      <w:tr w14:paraId="257B64A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9999FF"/>
            <w:noWrap/>
            <w:vAlign w:val="bottom"/>
          </w:tcPr>
          <w:p w14:paraId="6E5AF43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9999FF"/>
            <w:noWrap/>
            <w:vAlign w:val="bottom"/>
          </w:tcPr>
          <w:p w14:paraId="32578C2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PROR. KORISNIK 8674 OŠ. Augusta Cesarca, Špišić Bukovica</w:t>
            </w:r>
          </w:p>
        </w:tc>
        <w:tc>
          <w:tcPr>
            <w:tcW w:w="3111" w:type="dxa"/>
            <w:tcBorders>
              <w:top w:val="single" w:color="auto" w:sz="4" w:space="0"/>
              <w:left w:val="nil"/>
              <w:bottom w:val="single" w:color="auto" w:sz="4" w:space="0"/>
              <w:right w:val="single" w:color="auto" w:sz="4" w:space="0"/>
            </w:tcBorders>
            <w:shd w:val="clear" w:color="000000" w:fill="9999FF"/>
            <w:noWrap/>
            <w:vAlign w:val="bottom"/>
          </w:tcPr>
          <w:p w14:paraId="63A90B4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2.312.712,29</w:t>
            </w:r>
          </w:p>
        </w:tc>
        <w:tc>
          <w:tcPr>
            <w:tcW w:w="4719" w:type="dxa"/>
            <w:tcBorders>
              <w:top w:val="single" w:color="auto" w:sz="4" w:space="0"/>
              <w:left w:val="nil"/>
              <w:bottom w:val="single" w:color="auto" w:sz="4" w:space="0"/>
              <w:right w:val="single" w:color="auto" w:sz="4" w:space="0"/>
            </w:tcBorders>
            <w:shd w:val="clear" w:color="000000" w:fill="9999FF"/>
            <w:noWrap/>
            <w:vAlign w:val="bottom"/>
          </w:tcPr>
          <w:p w14:paraId="6722DC2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2.169.286,67</w:t>
            </w:r>
          </w:p>
        </w:tc>
        <w:tc>
          <w:tcPr>
            <w:tcW w:w="1167" w:type="dxa"/>
            <w:tcBorders>
              <w:top w:val="single" w:color="auto" w:sz="4" w:space="0"/>
              <w:left w:val="nil"/>
              <w:bottom w:val="single" w:color="auto" w:sz="4" w:space="0"/>
              <w:right w:val="single" w:color="auto" w:sz="4" w:space="0"/>
            </w:tcBorders>
            <w:shd w:val="clear" w:color="000000" w:fill="9999FF"/>
            <w:noWrap/>
            <w:vAlign w:val="bottom"/>
          </w:tcPr>
          <w:p w14:paraId="3F651FA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93,80%</w:t>
            </w:r>
          </w:p>
        </w:tc>
      </w:tr>
      <w:tr w14:paraId="2CE2568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09D1AD4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4BF1E06D">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193B88B2">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2.281,55</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1BF7D90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2.281,55</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0E4CA1A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2E58F80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021EC1EE">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71027A1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7137C4A">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2.281,55</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1193CD85">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2.281,55</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6E40285A">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722A574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262F538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00A4EE24">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52508B1B">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2.310.430,74</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76F57534">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2.167.005,12</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419E54DC">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93,79%</w:t>
            </w:r>
          </w:p>
        </w:tc>
      </w:tr>
      <w:tr w14:paraId="54D38A1D">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5D6268E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23601FF2">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4.8. Decentralizirana sredstva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39B64435">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127.382,25</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20636F0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126.351,88</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21A86912">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99,19%</w:t>
            </w:r>
          </w:p>
        </w:tc>
      </w:tr>
      <w:tr w14:paraId="7989D9E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52666BAD">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3E3DB054">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4.9. Vlastiti i namjenski prihodi proračunskih korisnika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5FA2503E">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2.183.048,49</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70ED508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2.040.653,24</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5B3774D4">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93,48%</w:t>
            </w:r>
          </w:p>
        </w:tc>
      </w:tr>
      <w:tr w14:paraId="3587508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9900"/>
            <w:noWrap/>
            <w:vAlign w:val="bottom"/>
          </w:tcPr>
          <w:p w14:paraId="387A756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9900"/>
            <w:noWrap/>
            <w:vAlign w:val="bottom"/>
          </w:tcPr>
          <w:p w14:paraId="4CF6A04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1019</w:t>
            </w:r>
          </w:p>
        </w:tc>
        <w:tc>
          <w:tcPr>
            <w:tcW w:w="4293" w:type="dxa"/>
            <w:tcBorders>
              <w:top w:val="single" w:color="auto" w:sz="4" w:space="0"/>
              <w:left w:val="nil"/>
              <w:bottom w:val="single" w:color="auto" w:sz="4" w:space="0"/>
              <w:right w:val="single" w:color="auto" w:sz="4" w:space="0"/>
            </w:tcBorders>
            <w:shd w:val="clear" w:color="000000" w:fill="FF9900"/>
            <w:noWrap/>
            <w:vAlign w:val="bottom"/>
          </w:tcPr>
          <w:p w14:paraId="2C70601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Program: Ulaganja u osnovno školstvo - zakonski standard</w:t>
            </w:r>
          </w:p>
        </w:tc>
        <w:tc>
          <w:tcPr>
            <w:tcW w:w="3111" w:type="dxa"/>
            <w:tcBorders>
              <w:top w:val="single" w:color="auto" w:sz="4" w:space="0"/>
              <w:left w:val="nil"/>
              <w:bottom w:val="single" w:color="auto" w:sz="4" w:space="0"/>
              <w:right w:val="single" w:color="auto" w:sz="4" w:space="0"/>
            </w:tcBorders>
            <w:shd w:val="clear" w:color="000000" w:fill="FF9900"/>
            <w:noWrap/>
            <w:vAlign w:val="bottom"/>
          </w:tcPr>
          <w:p w14:paraId="6E2271E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127.382,25</w:t>
            </w:r>
          </w:p>
        </w:tc>
        <w:tc>
          <w:tcPr>
            <w:tcW w:w="4719" w:type="dxa"/>
            <w:tcBorders>
              <w:top w:val="single" w:color="auto" w:sz="4" w:space="0"/>
              <w:left w:val="nil"/>
              <w:bottom w:val="single" w:color="auto" w:sz="4" w:space="0"/>
              <w:right w:val="single" w:color="auto" w:sz="4" w:space="0"/>
            </w:tcBorders>
            <w:shd w:val="clear" w:color="000000" w:fill="FF9900"/>
            <w:noWrap/>
            <w:vAlign w:val="bottom"/>
          </w:tcPr>
          <w:p w14:paraId="3A794D5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126.351,88</w:t>
            </w:r>
          </w:p>
        </w:tc>
        <w:tc>
          <w:tcPr>
            <w:tcW w:w="1167" w:type="dxa"/>
            <w:tcBorders>
              <w:top w:val="single" w:color="auto" w:sz="4" w:space="0"/>
              <w:left w:val="nil"/>
              <w:bottom w:val="single" w:color="auto" w:sz="4" w:space="0"/>
              <w:right w:val="single" w:color="auto" w:sz="4" w:space="0"/>
            </w:tcBorders>
            <w:shd w:val="clear" w:color="000000" w:fill="FF9900"/>
            <w:noWrap/>
            <w:vAlign w:val="bottom"/>
          </w:tcPr>
          <w:p w14:paraId="5A98DDF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99,19%</w:t>
            </w:r>
          </w:p>
        </w:tc>
      </w:tr>
      <w:tr w14:paraId="3B146BF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2328123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534EDDE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A100032</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13A2F927">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Aktivnost: Materijalni i financijski rashodi osnovnih škola - decentralizacija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6E3CFCA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125.442,25</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34B6327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124.411,88</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4CBAF34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99,18%</w:t>
            </w:r>
          </w:p>
        </w:tc>
      </w:tr>
      <w:tr w14:paraId="58AEF4F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197E0BBE">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3952FE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5D5C378A">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125.442,25</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35CB9BED">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124.411,88</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5F29911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99,18%</w:t>
            </w:r>
          </w:p>
        </w:tc>
      </w:tr>
      <w:tr w14:paraId="59F225B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4AF8A5F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400490D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4.8. Decentralizirana sredstva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A36195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125.442,25</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587815F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124.411,88</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11F0B23A">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99,18%</w:t>
            </w:r>
          </w:p>
        </w:tc>
      </w:tr>
      <w:tr w14:paraId="39344C2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9D1A9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B11250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BC5B2F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A70780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125.438,25</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7B8FEB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124.410,91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F1023A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99,18%</w:t>
            </w:r>
          </w:p>
        </w:tc>
      </w:tr>
      <w:tr w14:paraId="6168308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596A0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F445DF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CD4952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Službena putovanja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26AF89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CD0C47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1.271,49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00E588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B9C1A4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19946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16062C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9BA614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Stručno usavršavanje zaposlenika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E31E94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BCF53D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185,00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BD0FD8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A3C64DD">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AA2DD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1ADE66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76DC27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Uredski materijal i ostali 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8C9DAB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2D7B07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4.603,99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79A6C5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7C83FF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F6186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113D28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080897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Energija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0E258C5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184E3C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35.090,71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222454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4836D8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4A766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BACB2B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B5209C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Materijal i dijelovi za tekuće i investicijsko održavanje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54CE5C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218447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1.076,79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80720D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14F711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0DF8A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00947B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3225</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F10BC3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Sitni inventar i auto gume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010DB5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1BCCC9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494,17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3027BA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009F08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FB35A7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EA3A8B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3227</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78CEBA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Službena, radna i zaštitna odjeća i obuća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439E1E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B9B37A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537,79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CB2BD0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63D297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5D867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6FB929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C346AA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telefona, pošte i prijevoza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1EC457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030991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1.584,90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36D615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97631C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36C9DA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8E937A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6090B0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tekućeg i investicijskog održavanja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3F849E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7381E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65.596,10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EFBB5B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D87B67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60571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8FAD9B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A7FF83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promidžbe i informiranja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A61ED3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9D5EFE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800,00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F6269F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1F3916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6EF01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CFE1A9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B4F0A7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Komunalne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25066F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18C054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3.640,10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3B42B7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B739E9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1DEB7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EDF264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3236</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1CC107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Zdravstvene i veterinarske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C9F7DB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DA5C37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2.270,58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B47C59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CB616D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9839A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3E7E4F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3237</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2481E9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Intelektualne i osobne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3CA638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659996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157,00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65F9A7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03D0A0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97B5E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72A8A4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3238</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607AF8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Računalne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FE5401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48D92DE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4.639,97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EC254D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33D591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B7880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BEAB00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3239</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56F4EC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A2D696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B326B9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536,25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856566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2E3D17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90105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8CEAD0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BD189F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Premije osiguranja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0A7869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45E2A32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203,97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29AACC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9578C6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E7CDC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FCCFA7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3295</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5B19E8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Pristojbe i naknade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A1B0E6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B03BD0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1.221,71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977F0A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7FA736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B260E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C3C3FC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3299</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E67A88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nespomenuti rashodi poslovanja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9B9512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56C419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500,39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51CABE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A0CE40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E2B58F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000EE4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EC2A90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Financijski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CDB866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CC0DA5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0,97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D8608D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24,25%</w:t>
            </w:r>
          </w:p>
        </w:tc>
      </w:tr>
      <w:tr w14:paraId="561DE06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950A4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FB7496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5882D4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nespomenuti financijski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43D67A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2BEB60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0,97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95B141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4BBBE5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53370F3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02504AA4">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T100003</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5D4C20E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Tekući projekt: Tekuće i investicijsko održavanje osnovnih škola - decentralizacija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4C967DD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1.940,00</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44671FC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1.940,00</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433B4B1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54B319D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4181F06A">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30F0E00F">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23D07937">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1.940,00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0FC6FDB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1.940,00</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5FFF0015">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7A0C018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75F342BD">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054539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4.8. Decentralizirana sredstva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E184065">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1.940,00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536B296C">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1.940,00</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5121000E">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6DB938C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A3C68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B04EAB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6AD19A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9BD740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1.940,00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4192D6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1.940,00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4EE86E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233892C4">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C34E3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09C181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F5576F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tekućeg i investicijskog održavanja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CC27DB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C5D72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1.940,00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803574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DF3395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9900"/>
            <w:noWrap/>
            <w:vAlign w:val="bottom"/>
          </w:tcPr>
          <w:p w14:paraId="4C633DB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9900"/>
            <w:noWrap/>
            <w:vAlign w:val="bottom"/>
          </w:tcPr>
          <w:p w14:paraId="1643B7DA">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1020</w:t>
            </w:r>
          </w:p>
        </w:tc>
        <w:tc>
          <w:tcPr>
            <w:tcW w:w="4293" w:type="dxa"/>
            <w:tcBorders>
              <w:top w:val="single" w:color="auto" w:sz="4" w:space="0"/>
              <w:left w:val="nil"/>
              <w:bottom w:val="single" w:color="auto" w:sz="4" w:space="0"/>
              <w:right w:val="single" w:color="auto" w:sz="4" w:space="0"/>
            </w:tcBorders>
            <w:shd w:val="clear" w:color="000000" w:fill="FF9900"/>
            <w:noWrap/>
            <w:vAlign w:val="bottom"/>
          </w:tcPr>
          <w:p w14:paraId="3EF0F14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Program: Ulaganja u osnovno školstvo - iznad zakonskog standarda</w:t>
            </w:r>
          </w:p>
        </w:tc>
        <w:tc>
          <w:tcPr>
            <w:tcW w:w="3111" w:type="dxa"/>
            <w:tcBorders>
              <w:top w:val="single" w:color="auto" w:sz="4" w:space="0"/>
              <w:left w:val="nil"/>
              <w:bottom w:val="single" w:color="auto" w:sz="4" w:space="0"/>
              <w:right w:val="single" w:color="auto" w:sz="4" w:space="0"/>
            </w:tcBorders>
            <w:shd w:val="clear" w:color="000000" w:fill="FF9900"/>
            <w:noWrap/>
            <w:vAlign w:val="bottom"/>
          </w:tcPr>
          <w:p w14:paraId="3C64E46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4719" w:type="dxa"/>
            <w:tcBorders>
              <w:top w:val="single" w:color="auto" w:sz="4" w:space="0"/>
              <w:left w:val="nil"/>
              <w:bottom w:val="single" w:color="auto" w:sz="4" w:space="0"/>
              <w:right w:val="single" w:color="auto" w:sz="4" w:space="0"/>
            </w:tcBorders>
            <w:shd w:val="clear" w:color="000000" w:fill="FF9900"/>
            <w:noWrap/>
            <w:vAlign w:val="bottom"/>
          </w:tcPr>
          <w:p w14:paraId="059BBC7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2.281,55</w:t>
            </w:r>
          </w:p>
        </w:tc>
        <w:tc>
          <w:tcPr>
            <w:tcW w:w="1167" w:type="dxa"/>
            <w:tcBorders>
              <w:top w:val="single" w:color="auto" w:sz="4" w:space="0"/>
              <w:left w:val="nil"/>
              <w:bottom w:val="single" w:color="auto" w:sz="4" w:space="0"/>
              <w:right w:val="single" w:color="auto" w:sz="4" w:space="0"/>
            </w:tcBorders>
            <w:shd w:val="clear" w:color="000000" w:fill="FF9900"/>
            <w:noWrap/>
            <w:vAlign w:val="bottom"/>
          </w:tcPr>
          <w:p w14:paraId="429A8BD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11111C2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36EC1CC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1B187AB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A100111</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1527E34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Aktivnost: Natjecanja učenika osnovnih škola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36478BE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570,69</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71CF576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570,69</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3A595B5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2CF79BC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5871C2F5">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F511316">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45603EB">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570,69</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72E1087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570,69</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3E0DA82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48A5849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32201E6D">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53BFC1D">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3943A712">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570,69</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736D42C4">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570,69</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41A74241">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46DFB92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DB770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E733FC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661CFF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17506E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53,08</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197D97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53,08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97F620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3127D91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CEB92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8A1D88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3FD425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5E7928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FEDD78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53,08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271571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822064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BF195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E3D343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D081E1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B77D7A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517,61</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F985C4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517,61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3192EB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4E64010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57F64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58F4DB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5A55C7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Materijal i sirovine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3D92C2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D7FB5B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77,61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76B673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3C9CA9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872A2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569DDA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9686F3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telefona, pošte i prijevoza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680337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F43B1B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440,00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3050CD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AFC53F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2F6E4885">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34E0D03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T100059</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2FA1774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Tekući projekt: Projekt: "In-In - integracija i inkluzija"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606A6ED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1.710,86</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6E2BB60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1.710,86</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1DF2142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284B405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6D2E1A39">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CB0E157">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48C177FC">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1.710,86</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4124CCEC">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1.710,86</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3BD6536D">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24B00B9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69EFDE82">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32381511">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1.1. Opći prihodi i primici</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2C8CFFF9">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1.710,86</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3844C24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1.710,86</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40DE214B">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100,00%</w:t>
            </w:r>
          </w:p>
        </w:tc>
      </w:tr>
      <w:tr w14:paraId="21A948E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BA904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03DD280">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EC1691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CEA7DF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1.710,86</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AEF2CF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1.710,86</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49C0CF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100,00%</w:t>
            </w:r>
          </w:p>
        </w:tc>
      </w:tr>
      <w:tr w14:paraId="0F53BE45">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5E872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374D19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3988A3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Plaće za redovan rad</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DFAE7A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D94ACD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1.468,56</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BB73AB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837F03C">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B71D5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DEE000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E84E45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Doprinosi za obvezno zdravstveno osiguranje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B37B8F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3C0994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242,30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EC50AB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191E5AE">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9900"/>
            <w:noWrap/>
            <w:vAlign w:val="bottom"/>
          </w:tcPr>
          <w:p w14:paraId="3507EFA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9900"/>
            <w:noWrap/>
            <w:vAlign w:val="bottom"/>
          </w:tcPr>
          <w:p w14:paraId="0C81F34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1033</w:t>
            </w:r>
          </w:p>
        </w:tc>
        <w:tc>
          <w:tcPr>
            <w:tcW w:w="4293" w:type="dxa"/>
            <w:tcBorders>
              <w:top w:val="single" w:color="auto" w:sz="4" w:space="0"/>
              <w:left w:val="nil"/>
              <w:bottom w:val="single" w:color="auto" w:sz="4" w:space="0"/>
              <w:right w:val="single" w:color="auto" w:sz="4" w:space="0"/>
            </w:tcBorders>
            <w:shd w:val="clear" w:color="000000" w:fill="FF9900"/>
            <w:noWrap/>
            <w:vAlign w:val="bottom"/>
          </w:tcPr>
          <w:p w14:paraId="705E85D7">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Program: Ulaganja u osnovno školstvo - iz vlastitih i namjenskih prihoda škola</w:t>
            </w:r>
          </w:p>
        </w:tc>
        <w:tc>
          <w:tcPr>
            <w:tcW w:w="3111" w:type="dxa"/>
            <w:tcBorders>
              <w:top w:val="single" w:color="auto" w:sz="4" w:space="0"/>
              <w:left w:val="nil"/>
              <w:bottom w:val="single" w:color="auto" w:sz="4" w:space="0"/>
              <w:right w:val="single" w:color="auto" w:sz="4" w:space="0"/>
            </w:tcBorders>
            <w:shd w:val="clear" w:color="000000" w:fill="FF9900"/>
            <w:noWrap/>
            <w:vAlign w:val="bottom"/>
          </w:tcPr>
          <w:p w14:paraId="754178E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2.183.048,49</w:t>
            </w:r>
          </w:p>
        </w:tc>
        <w:tc>
          <w:tcPr>
            <w:tcW w:w="4719" w:type="dxa"/>
            <w:tcBorders>
              <w:top w:val="single" w:color="auto" w:sz="4" w:space="0"/>
              <w:left w:val="nil"/>
              <w:bottom w:val="single" w:color="auto" w:sz="4" w:space="0"/>
              <w:right w:val="single" w:color="auto" w:sz="4" w:space="0"/>
            </w:tcBorders>
            <w:shd w:val="clear" w:color="000000" w:fill="FF9900"/>
            <w:noWrap/>
            <w:vAlign w:val="bottom"/>
          </w:tcPr>
          <w:p w14:paraId="6BC7E9B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2.040.653,24</w:t>
            </w:r>
          </w:p>
        </w:tc>
        <w:tc>
          <w:tcPr>
            <w:tcW w:w="1167" w:type="dxa"/>
            <w:tcBorders>
              <w:top w:val="single" w:color="auto" w:sz="4" w:space="0"/>
              <w:left w:val="nil"/>
              <w:bottom w:val="single" w:color="auto" w:sz="4" w:space="0"/>
              <w:right w:val="single" w:color="auto" w:sz="4" w:space="0"/>
            </w:tcBorders>
            <w:shd w:val="clear" w:color="000000" w:fill="FF9900"/>
            <w:noWrap/>
            <w:vAlign w:val="bottom"/>
          </w:tcPr>
          <w:p w14:paraId="6F5D18E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93,48%</w:t>
            </w:r>
          </w:p>
        </w:tc>
      </w:tr>
      <w:tr w14:paraId="02A317F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35253D3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70AA749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A100066</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5647D09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Aktivnost: Podizanje standarda iz vlastitih i namjenskih prihoda osnovnih škola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1C1A4E4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1.920.687,00</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3839EBA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1.829.935,57</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2113760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95,28%</w:t>
            </w:r>
          </w:p>
        </w:tc>
      </w:tr>
      <w:tr w14:paraId="474BE0A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45DB7EDA">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109E5169">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24A5D5F4">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1.920.687,00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090DBCF2">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1.829.935,57</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6F165871">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95,28%</w:t>
            </w:r>
          </w:p>
        </w:tc>
      </w:tr>
      <w:tr w14:paraId="382AA2E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44F685BE">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40759567">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4.9. Vlastiti i namjenski prihodi proračunskih korisnika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79F15FEA">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1.920.687,00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3BF9897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1.829.935,57</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6F1C9FC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95,28%</w:t>
            </w:r>
          </w:p>
        </w:tc>
      </w:tr>
      <w:tr w14:paraId="257C5B9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6B883C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FA57AC1">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A63472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DADABE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1.746.000,00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AA8F67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1.670.763,82</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F031D0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95,69%</w:t>
            </w:r>
          </w:p>
        </w:tc>
      </w:tr>
      <w:tr w14:paraId="39341C8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D1D05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231C34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A1DBE2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Plaće za redovan rad</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213E66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407C002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1.404.758,33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01D904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35A43E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36435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FC1A56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2F39A5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673E1E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6AF2C6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52.278,61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946FCB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31CB34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EC216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5CA4BA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CC51A5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Doprinosi za obvezno zdravstveno osiguranje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09038D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7E0B99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213.726,88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33BAB0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2F348E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F15E01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542A88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947F22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822657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157.100,00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A9C4EA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142.123,05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981C87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90,47%</w:t>
            </w:r>
          </w:p>
        </w:tc>
      </w:tr>
      <w:tr w14:paraId="3B0C172C">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3FB18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88BA24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FDD43C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Službena putovanja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67DF5C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94B580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810,00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A7D7C0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1F1770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E1CBE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6590DE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1762ED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Naknade za prijevoz, za rad na terenu i odvojeni život</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0DF0514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76B538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41.477,13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B70657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31F4F5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6EFCA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7DED78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B0009F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Stručno usavršavanje zaposlenika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B8C6A4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44D7170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145,00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A9BB94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9D41FC8">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340DE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F0556F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AE52C1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Uredski materijal i ostali 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04D99F1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BB9E1D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3.082,24</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518F74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E0AEF6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D4418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EE3AED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FB7482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Materijal i sirovine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558803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F3AF18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86.898,63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351A3E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D2293C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48E10E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92BAF1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BE89CD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Materijal i dijelovi za tekuće i investicijsko održavanje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5D4857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51219E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1.048,74</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2777DD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FE3157C">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28C968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678AE3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3225</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4EBF30C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Sitni inventar i auto gume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7BFAEE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FA638A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1.112,00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6D90D6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DD835E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BC085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997F63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5CCD62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telefona, pošte i prijevoza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E403E8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1ACA3C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56,43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712F89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FD9F6E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982EA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B430A7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5F682B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tekućeg i investicijskog održavanja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D0101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AB075C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993,53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EA29FD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32BE01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7E2F8C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96ECED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B022B8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Komunalne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D4CCBE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6386D4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343,95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DC46A3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1B19D65">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54125A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F4E5A3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3236</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BE72AE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Zdravstvene i veterinarske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E65814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71CBAB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857,23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4349E8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9F043A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F0001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33F2D8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9C21AA3">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Premije osiguranja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684B87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CA537C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163,92</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95A580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C4D535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61786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355BDF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B66B5A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Članarine i norme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E53B59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C6A275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188,09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F73108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B20A96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843F0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571B48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3299</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627442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nespomenuti rashodi poslovanja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B6DA2D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80C1D4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4.946,16</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3CC994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B5B7A3C">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10D81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43F099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34</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15F4C2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Financijski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FF968D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E37861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0,02</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3205B4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r>
      <w:tr w14:paraId="4707CB0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6CFA6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2D04C5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3433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C0E1A0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Zatezne kamate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4091F4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D021BD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0,02</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4F21B2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4946560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03D58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B23990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38</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FB2541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Ostali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751F40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587,00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E0C084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586,03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EA5CA1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99,83%</w:t>
            </w:r>
          </w:p>
        </w:tc>
      </w:tr>
      <w:tr w14:paraId="2FBDEAF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A5E3E0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C7F62D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3812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DFEF3E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Tekuće donacije u naravi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8E0724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58D344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586,03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51B9F6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586588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EBA4FA">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224DAD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AEC6A01">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nabavu proizvedene dugotrajne imovine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AABAAE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17.000,00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06C7B07E">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16.462,65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5CA861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96,84%</w:t>
            </w:r>
          </w:p>
        </w:tc>
      </w:tr>
      <w:tr w14:paraId="48B548D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DFDF8E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343481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7311916">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Uredska oprema i namještaj</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19C111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B48B71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591,03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FA49A0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EF2AA0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DB7710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179454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4241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464C11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Knjige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8505D9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E22E8E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15.871,62</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C4CF22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971C81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0E71523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2C6BDE00">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T100059</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41306D8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Tekući projekt: Projekt: "In-In - integracija i inkluzija"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79E7CC5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14.467,20</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4C96BA5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14.276,43</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4D78416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98,68%</w:t>
            </w:r>
          </w:p>
        </w:tc>
      </w:tr>
      <w:tr w14:paraId="29A7B1E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3D14D7C4">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63A65EC1">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08E092E">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14.467,20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6402CEE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14.276,43</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5AC744C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98,68%</w:t>
            </w:r>
          </w:p>
        </w:tc>
      </w:tr>
      <w:tr w14:paraId="563FC3DC">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21610306">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21BDCCAE">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4.9. Vlastiti i namjenski prihodi proračunskih korisnika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0961FE57">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14.467,20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0F66FBE4">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14.276,43</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7CDA1AB6">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98,68%</w:t>
            </w:r>
          </w:p>
        </w:tc>
      </w:tr>
      <w:tr w14:paraId="611B343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499F9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E7D624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B308E51">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zaposlene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0D0A6A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12.716,00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F96E80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12.631,15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B5042B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99,33%</w:t>
            </w:r>
          </w:p>
        </w:tc>
      </w:tr>
      <w:tr w14:paraId="41A4BAA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AF6A3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3899A7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0F797C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Plaće za redovan rad</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0586914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67F039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10.997,97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1B897D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959ED9D">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98E24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F2D4FD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3132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85D2F6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Doprinosi za obvezno zdravstveno osiguranje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9F0F1D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B799F83">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1.633,18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3E9547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155C02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FD631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8CF7F5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B55DEFC">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8585F5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1.751,20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14E2E65">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1.645,28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F56D5D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93,95%</w:t>
            </w:r>
          </w:p>
        </w:tc>
      </w:tr>
      <w:tr w14:paraId="1CFF3724">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B9F42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5D887C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0EDD068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Naknade za prijevoz, za rad na terenu i odvojeni život</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05035F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034400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1.645,28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F88C52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ABB727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05F323BE">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5BAEE45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T100064</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5F7A15BF">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Tekući projekt: Projekt: "ŠKOLSKA SHEMA"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69A1392B">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2.894,29</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691B1F54">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3.032,88</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508DCB4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104,79%</w:t>
            </w:r>
          </w:p>
        </w:tc>
      </w:tr>
      <w:tr w14:paraId="78F1735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34238172">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5129C50F">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4A79B7B3">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2.894,29</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3A89336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3.032,88</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3C85ED68">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104,79%</w:t>
            </w:r>
          </w:p>
        </w:tc>
      </w:tr>
      <w:tr w14:paraId="6B4212A5">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61E2B229">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50D9BBEA">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4.9. Vlastiti i namjenski prihodi proračunskih korisnika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4C0AE4DC">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2.894,29</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58FAB87E">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3.032,88</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25849B2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104,79%</w:t>
            </w:r>
          </w:p>
        </w:tc>
      </w:tr>
      <w:tr w14:paraId="6B98E20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D2231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8996A4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08FB4E3">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41B22D6">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2.894,29</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0143252">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3.032,88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1DB7809">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104,79%</w:t>
            </w:r>
          </w:p>
        </w:tc>
      </w:tr>
      <w:tr w14:paraId="052C76F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245B4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04CE446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822F13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Materijal i sirovine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F8BD37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23C875F">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3.032,88</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7222D30">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7E4861F3">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FFFF99"/>
            <w:noWrap/>
            <w:vAlign w:val="bottom"/>
          </w:tcPr>
          <w:p w14:paraId="15DB8944">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000000" w:fill="FFFF99"/>
            <w:noWrap/>
            <w:vAlign w:val="bottom"/>
          </w:tcPr>
          <w:p w14:paraId="222DB266">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T100088</w:t>
            </w:r>
          </w:p>
        </w:tc>
        <w:tc>
          <w:tcPr>
            <w:tcW w:w="4293" w:type="dxa"/>
            <w:tcBorders>
              <w:top w:val="single" w:color="auto" w:sz="4" w:space="0"/>
              <w:left w:val="nil"/>
              <w:bottom w:val="single" w:color="auto" w:sz="4" w:space="0"/>
              <w:right w:val="single" w:color="auto" w:sz="4" w:space="0"/>
            </w:tcBorders>
            <w:shd w:val="clear" w:color="000000" w:fill="FFFF99"/>
            <w:noWrap/>
            <w:vAlign w:val="bottom"/>
          </w:tcPr>
          <w:p w14:paraId="4E21AB7A">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Tekući projekt: Projekt:"Osnovna škola kao cjelodnevna škola"</w:t>
            </w:r>
          </w:p>
        </w:tc>
        <w:tc>
          <w:tcPr>
            <w:tcW w:w="3111" w:type="dxa"/>
            <w:tcBorders>
              <w:top w:val="single" w:color="auto" w:sz="4" w:space="0"/>
              <w:left w:val="nil"/>
              <w:bottom w:val="single" w:color="auto" w:sz="4" w:space="0"/>
              <w:right w:val="single" w:color="auto" w:sz="4" w:space="0"/>
            </w:tcBorders>
            <w:shd w:val="clear" w:color="000000" w:fill="FFFF99"/>
            <w:noWrap/>
            <w:vAlign w:val="bottom"/>
          </w:tcPr>
          <w:p w14:paraId="7CBC388A">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245.000,00</w:t>
            </w:r>
          </w:p>
        </w:tc>
        <w:tc>
          <w:tcPr>
            <w:tcW w:w="4719" w:type="dxa"/>
            <w:tcBorders>
              <w:top w:val="single" w:color="auto" w:sz="4" w:space="0"/>
              <w:left w:val="nil"/>
              <w:bottom w:val="single" w:color="auto" w:sz="4" w:space="0"/>
              <w:right w:val="single" w:color="auto" w:sz="4" w:space="0"/>
            </w:tcBorders>
            <w:shd w:val="clear" w:color="000000" w:fill="FFFF99"/>
            <w:noWrap/>
            <w:vAlign w:val="bottom"/>
          </w:tcPr>
          <w:p w14:paraId="5BD20270">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193.408,36</w:t>
            </w:r>
          </w:p>
        </w:tc>
        <w:tc>
          <w:tcPr>
            <w:tcW w:w="1167" w:type="dxa"/>
            <w:tcBorders>
              <w:top w:val="single" w:color="auto" w:sz="4" w:space="0"/>
              <w:left w:val="nil"/>
              <w:bottom w:val="single" w:color="auto" w:sz="4" w:space="0"/>
              <w:right w:val="single" w:color="auto" w:sz="4" w:space="0"/>
            </w:tcBorders>
            <w:shd w:val="clear" w:color="000000" w:fill="FFFF99"/>
            <w:noWrap/>
            <w:vAlign w:val="bottom"/>
          </w:tcPr>
          <w:p w14:paraId="22B469B7">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78,94%</w:t>
            </w:r>
          </w:p>
        </w:tc>
      </w:tr>
      <w:tr w14:paraId="5F31275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39E2AAA1">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47B8A600">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 Prihodi za posebne namjene</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11C51ABB">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245.000,00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519F2B69">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193.408,36</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62512CD1">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78,94%</w:t>
            </w:r>
          </w:p>
        </w:tc>
      </w:tr>
      <w:tr w14:paraId="6198B96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000000" w:fill="CCCCFF"/>
            <w:noWrap/>
            <w:vAlign w:val="bottom"/>
          </w:tcPr>
          <w:p w14:paraId="7BBE1CA6">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 </w:t>
            </w:r>
          </w:p>
        </w:tc>
        <w:tc>
          <w:tcPr>
            <w:tcW w:w="6237" w:type="dxa"/>
            <w:gridSpan w:val="2"/>
            <w:tcBorders>
              <w:top w:val="single" w:color="auto" w:sz="4" w:space="0"/>
              <w:left w:val="nil"/>
              <w:bottom w:val="single" w:color="auto" w:sz="4" w:space="0"/>
              <w:right w:val="single" w:color="auto" w:sz="4" w:space="0"/>
            </w:tcBorders>
            <w:shd w:val="clear" w:color="000000" w:fill="CCCCFF"/>
            <w:noWrap/>
            <w:vAlign w:val="bottom"/>
          </w:tcPr>
          <w:p w14:paraId="475DFE6C">
            <w:pPr>
              <w:widowControl/>
              <w:autoSpaceDE/>
              <w:autoSpaceDN/>
              <w:adjustRightInd/>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Izvor 4.9. Vlastiti i namjenski prihodi proračunskih korisnika</w:t>
            </w:r>
          </w:p>
        </w:tc>
        <w:tc>
          <w:tcPr>
            <w:tcW w:w="3111" w:type="dxa"/>
            <w:tcBorders>
              <w:top w:val="single" w:color="auto" w:sz="4" w:space="0"/>
              <w:left w:val="nil"/>
              <w:bottom w:val="single" w:color="auto" w:sz="4" w:space="0"/>
              <w:right w:val="single" w:color="auto" w:sz="4" w:space="0"/>
            </w:tcBorders>
            <w:shd w:val="clear" w:color="000000" w:fill="CCCCFF"/>
            <w:noWrap/>
            <w:vAlign w:val="bottom"/>
          </w:tcPr>
          <w:p w14:paraId="7BF64149">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245.000,00</w:t>
            </w:r>
          </w:p>
        </w:tc>
        <w:tc>
          <w:tcPr>
            <w:tcW w:w="4719" w:type="dxa"/>
            <w:tcBorders>
              <w:top w:val="single" w:color="auto" w:sz="4" w:space="0"/>
              <w:left w:val="nil"/>
              <w:bottom w:val="single" w:color="auto" w:sz="4" w:space="0"/>
              <w:right w:val="single" w:color="auto" w:sz="4" w:space="0"/>
            </w:tcBorders>
            <w:shd w:val="clear" w:color="000000" w:fill="CCCCFF"/>
            <w:noWrap/>
            <w:vAlign w:val="bottom"/>
          </w:tcPr>
          <w:p w14:paraId="3133755F">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193.408,36</w:t>
            </w:r>
          </w:p>
        </w:tc>
        <w:tc>
          <w:tcPr>
            <w:tcW w:w="1167" w:type="dxa"/>
            <w:tcBorders>
              <w:top w:val="single" w:color="auto" w:sz="4" w:space="0"/>
              <w:left w:val="nil"/>
              <w:bottom w:val="single" w:color="auto" w:sz="4" w:space="0"/>
              <w:right w:val="single" w:color="auto" w:sz="4" w:space="0"/>
            </w:tcBorders>
            <w:shd w:val="clear" w:color="000000" w:fill="CCCCFF"/>
            <w:noWrap/>
            <w:vAlign w:val="bottom"/>
          </w:tcPr>
          <w:p w14:paraId="1E2A8E10">
            <w:pPr>
              <w:widowControl/>
              <w:autoSpaceDE/>
              <w:autoSpaceDN/>
              <w:adjustRightInd/>
              <w:jc w:val="right"/>
              <w:rPr>
                <w:rFonts w:ascii="Calibri" w:hAnsi="Calibri" w:eastAsia="Times New Roman" w:cs="Calibri"/>
                <w:b/>
                <w:bCs/>
                <w:color w:val="333333"/>
                <w:sz w:val="22"/>
                <w:szCs w:val="22"/>
                <w:lang w:val="en-US" w:eastAsia="en-US"/>
              </w:rPr>
            </w:pPr>
            <w:r>
              <w:rPr>
                <w:rFonts w:ascii="Calibri" w:hAnsi="Calibri" w:eastAsia="Times New Roman" w:cs="Calibri"/>
                <w:b/>
                <w:bCs/>
                <w:color w:val="333333"/>
                <w:sz w:val="22"/>
                <w:szCs w:val="22"/>
                <w:lang w:val="en-US" w:eastAsia="en-US"/>
              </w:rPr>
              <w:t>78,94%</w:t>
            </w:r>
          </w:p>
        </w:tc>
      </w:tr>
      <w:tr w14:paraId="0DD29519">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0D8A19">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177A738">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656C36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993C2E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170.000,00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74A9DCE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130.262,85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38B9B53">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76,63%</w:t>
            </w:r>
          </w:p>
        </w:tc>
      </w:tr>
      <w:tr w14:paraId="55846621">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2AEA0A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056AFF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8AA5E0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Službena putovanja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AE5A8E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78C891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6.296,05</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57430E5">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46D795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34EEEE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62F275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3213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A05539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Stručno usavršavanje zaposlenika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96525B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864D77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433,40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FAABEF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D12E9C2">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D5473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F18DFF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85402C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Uredski materijal i ostali materijalni rashodi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9FB919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30D2D1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33.182,37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3B87A00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B5A52B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9EA0AD">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1586E797">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3225</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36F3E0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Sitni inventar i auto gume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0DAC93C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0ACFF8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33.547,33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7D46CA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57A0DFDF">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23E19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52913C29">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28BDCB7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Usluge telefona, pošte i prijevoza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14341EA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2E89A96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496,00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234334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6BDC1D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1B9523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D92F605">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3237</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9F4FDF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Intelektualne i osobne usluge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6BF2ED6">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4F74C69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400,00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DF3A2EA">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2893AF2D">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C28FA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B0EC4A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3293</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09A13BA">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Reprezentacija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1F3AC1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C1E19B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1.992,19</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9CD6B2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D98343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4B41130">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B042EF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3299</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A8B5D7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Ostali nespomenuti rashodi poslovanja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4F8EDD2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6C7F3E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53.915,51</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2FE55FC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612177F7">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18743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C2FC922">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37</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5044050D">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Naknade građanima i kućanstvima na temelju osiguranja i druge naknade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5C82AC8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30.000,00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C22551F">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28.540,07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C284D11">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95,13%</w:t>
            </w:r>
          </w:p>
        </w:tc>
      </w:tr>
      <w:tr w14:paraId="6763242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C04230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5C1D89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3722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89F8A3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Naknade građanima i kućanstvima u naravi</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B85A2D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0C4E38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28.540,07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6C5A831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02E84C0">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6DD0B1">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4CEBF3D0">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42</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2F5406B">
            <w:pPr>
              <w:widowControl/>
              <w:autoSpaceDE/>
              <w:autoSpaceDN/>
              <w:adjustRightInd/>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Rashodi za nabavu proizvedene dugotrajne imovine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65B4F1C8">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45.000,00</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9AC663D">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34.605,44</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15DB112C">
            <w:pPr>
              <w:widowControl/>
              <w:autoSpaceDE/>
              <w:autoSpaceDN/>
              <w:adjustRightInd/>
              <w:jc w:val="right"/>
              <w:rPr>
                <w:rFonts w:ascii="Calibri" w:hAnsi="Calibri" w:eastAsia="Times New Roman" w:cs="Calibri"/>
                <w:b/>
                <w:bCs/>
                <w:sz w:val="22"/>
                <w:szCs w:val="22"/>
                <w:lang w:val="en-US" w:eastAsia="en-US"/>
              </w:rPr>
            </w:pPr>
            <w:r>
              <w:rPr>
                <w:rFonts w:ascii="Calibri" w:hAnsi="Calibri" w:eastAsia="Times New Roman" w:cs="Calibri"/>
                <w:b/>
                <w:bCs/>
                <w:sz w:val="22"/>
                <w:szCs w:val="22"/>
                <w:lang w:val="en-US" w:eastAsia="en-US"/>
              </w:rPr>
              <w:t>76,90%</w:t>
            </w:r>
          </w:p>
        </w:tc>
      </w:tr>
      <w:tr w14:paraId="3BF7407A">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3A78354">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2C66159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6357272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Uredska oprema i namještaj</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186198D">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308EFEE8">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6.110,80</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78D5C519">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11E113E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714D7B">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70B63442">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4226</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18FFBA3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Sportska i glazbena oprema</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2598B684">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6E9E9F32">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6.733,74</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564E38AC">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0D92EB2B">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2C52A3C">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60F204C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4227</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3FAF37D8">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Uređaji, strojevi i oprema za ostale namjene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3FFE1E4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12DB73B7">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7.440,67</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07F2EDA1">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r w14:paraId="3D6EEA46">
        <w:tblPrEx>
          <w:tblCellMar>
            <w:top w:w="0" w:type="dxa"/>
            <w:left w:w="108" w:type="dxa"/>
            <w:bottom w:w="0" w:type="dxa"/>
            <w:right w:w="108" w:type="dxa"/>
          </w:tblCellMar>
        </w:tblPrEx>
        <w:trPr>
          <w:trHeight w:val="300" w:hRule="atLeast"/>
        </w:trPr>
        <w:tc>
          <w:tcPr>
            <w:tcW w:w="2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8549481">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1944" w:type="dxa"/>
            <w:tcBorders>
              <w:top w:val="single" w:color="auto" w:sz="4" w:space="0"/>
              <w:left w:val="nil"/>
              <w:bottom w:val="single" w:color="auto" w:sz="4" w:space="0"/>
              <w:right w:val="single" w:color="auto" w:sz="4" w:space="0"/>
            </w:tcBorders>
            <w:shd w:val="clear" w:color="auto" w:fill="auto"/>
            <w:noWrap/>
            <w:vAlign w:val="bottom"/>
          </w:tcPr>
          <w:p w14:paraId="3FD2086F">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4241</w:t>
            </w:r>
          </w:p>
        </w:tc>
        <w:tc>
          <w:tcPr>
            <w:tcW w:w="4293" w:type="dxa"/>
            <w:tcBorders>
              <w:top w:val="single" w:color="auto" w:sz="4" w:space="0"/>
              <w:left w:val="nil"/>
              <w:bottom w:val="single" w:color="auto" w:sz="4" w:space="0"/>
              <w:right w:val="single" w:color="auto" w:sz="4" w:space="0"/>
            </w:tcBorders>
            <w:shd w:val="clear" w:color="auto" w:fill="auto"/>
            <w:noWrap/>
            <w:vAlign w:val="bottom"/>
          </w:tcPr>
          <w:p w14:paraId="779A4F8E">
            <w:pPr>
              <w:widowControl/>
              <w:autoSpaceDE/>
              <w:autoSpaceDN/>
              <w:adjustRightInd/>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Knjige</w:t>
            </w:r>
          </w:p>
        </w:tc>
        <w:tc>
          <w:tcPr>
            <w:tcW w:w="3111" w:type="dxa"/>
            <w:tcBorders>
              <w:top w:val="single" w:color="auto" w:sz="4" w:space="0"/>
              <w:left w:val="nil"/>
              <w:bottom w:val="single" w:color="auto" w:sz="4" w:space="0"/>
              <w:right w:val="single" w:color="auto" w:sz="4" w:space="0"/>
            </w:tcBorders>
            <w:shd w:val="clear" w:color="auto" w:fill="auto"/>
            <w:noWrap/>
            <w:vAlign w:val="bottom"/>
          </w:tcPr>
          <w:p w14:paraId="75EAF47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c>
          <w:tcPr>
            <w:tcW w:w="4719" w:type="dxa"/>
            <w:tcBorders>
              <w:top w:val="single" w:color="auto" w:sz="4" w:space="0"/>
              <w:left w:val="nil"/>
              <w:bottom w:val="single" w:color="auto" w:sz="4" w:space="0"/>
              <w:right w:val="single" w:color="auto" w:sz="4" w:space="0"/>
            </w:tcBorders>
            <w:shd w:val="clear" w:color="auto" w:fill="auto"/>
            <w:noWrap/>
            <w:vAlign w:val="bottom"/>
          </w:tcPr>
          <w:p w14:paraId="51B273FE">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14.320,23</w:t>
            </w:r>
          </w:p>
        </w:tc>
        <w:tc>
          <w:tcPr>
            <w:tcW w:w="1167" w:type="dxa"/>
            <w:tcBorders>
              <w:top w:val="single" w:color="auto" w:sz="4" w:space="0"/>
              <w:left w:val="nil"/>
              <w:bottom w:val="single" w:color="auto" w:sz="4" w:space="0"/>
              <w:right w:val="single" w:color="auto" w:sz="4" w:space="0"/>
            </w:tcBorders>
            <w:shd w:val="clear" w:color="auto" w:fill="auto"/>
            <w:noWrap/>
            <w:vAlign w:val="bottom"/>
          </w:tcPr>
          <w:p w14:paraId="4618B89B">
            <w:pPr>
              <w:widowControl/>
              <w:autoSpaceDE/>
              <w:autoSpaceDN/>
              <w:adjustRightInd/>
              <w:jc w:val="right"/>
              <w:rPr>
                <w:rFonts w:ascii="Calibri" w:hAnsi="Calibri" w:eastAsia="Times New Roman" w:cs="Calibri"/>
                <w:color w:val="000000"/>
                <w:sz w:val="22"/>
                <w:szCs w:val="22"/>
                <w:lang w:val="en-US" w:eastAsia="en-US"/>
              </w:rPr>
            </w:pPr>
            <w:r>
              <w:rPr>
                <w:rFonts w:ascii="Calibri" w:hAnsi="Calibri" w:eastAsia="Times New Roman" w:cs="Calibri"/>
                <w:color w:val="000000"/>
                <w:sz w:val="22"/>
                <w:szCs w:val="22"/>
                <w:lang w:val="en-US" w:eastAsia="en-US"/>
              </w:rPr>
              <w:t> </w:t>
            </w:r>
          </w:p>
        </w:tc>
      </w:tr>
    </w:tbl>
    <w:p w14:paraId="4E0EC7E1">
      <w:pPr>
        <w:pStyle w:val="6"/>
        <w:tabs>
          <w:tab w:val="left" w:pos="1553"/>
        </w:tabs>
        <w:kinsoku w:val="0"/>
        <w:overflowPunct w:val="0"/>
        <w:ind w:left="0" w:firstLine="0"/>
        <w:rPr>
          <w:spacing w:val="-1"/>
        </w:rPr>
      </w:pPr>
    </w:p>
    <w:p w14:paraId="7E28272C">
      <w:pPr>
        <w:pStyle w:val="6"/>
        <w:tabs>
          <w:tab w:val="left" w:pos="1553"/>
        </w:tabs>
        <w:kinsoku w:val="0"/>
        <w:overflowPunct w:val="0"/>
        <w:ind w:left="0" w:firstLine="0"/>
        <w:rPr>
          <w:spacing w:val="-1"/>
        </w:rPr>
      </w:pPr>
    </w:p>
    <w:p w14:paraId="7E28272D">
      <w:pPr>
        <w:pStyle w:val="6"/>
        <w:tabs>
          <w:tab w:val="left" w:pos="1553"/>
        </w:tabs>
        <w:kinsoku w:val="0"/>
        <w:overflowPunct w:val="0"/>
        <w:ind w:left="0" w:firstLine="0"/>
        <w:rPr>
          <w:spacing w:val="-1"/>
        </w:rPr>
      </w:pPr>
    </w:p>
    <w:p w14:paraId="7E282A4E">
      <w:pPr>
        <w:pStyle w:val="6"/>
        <w:tabs>
          <w:tab w:val="left" w:pos="1553"/>
        </w:tabs>
        <w:kinsoku w:val="0"/>
        <w:overflowPunct w:val="0"/>
        <w:ind w:left="0" w:firstLine="0"/>
        <w:rPr>
          <w:spacing w:val="-1"/>
        </w:rPr>
      </w:pPr>
    </w:p>
    <w:p w14:paraId="7E282A4F">
      <w:pPr>
        <w:widowControl/>
        <w:autoSpaceDE/>
        <w:autoSpaceDN/>
        <w:adjustRightInd/>
        <w:spacing w:after="160" w:line="259" w:lineRule="auto"/>
        <w:rPr>
          <w:spacing w:val="-1"/>
        </w:rPr>
      </w:pPr>
      <w:r>
        <w:rPr>
          <w:spacing w:val="-1"/>
        </w:rPr>
        <w:br w:type="page"/>
      </w:r>
    </w:p>
    <w:p w14:paraId="7E282A50">
      <w:pPr>
        <w:pStyle w:val="6"/>
        <w:tabs>
          <w:tab w:val="left" w:pos="1553"/>
        </w:tabs>
        <w:kinsoku w:val="0"/>
        <w:overflowPunct w:val="0"/>
        <w:ind w:left="0" w:firstLine="0"/>
        <w:jc w:val="center"/>
        <w:rPr>
          <w:spacing w:val="-1"/>
        </w:rPr>
      </w:pPr>
      <w:r>
        <w:rPr>
          <w:spacing w:val="-1"/>
        </w:rPr>
        <w:t>III OBRAZLOŽENJE</w:t>
      </w:r>
    </w:p>
    <w:p w14:paraId="7E282A51">
      <w:pPr>
        <w:pStyle w:val="6"/>
        <w:tabs>
          <w:tab w:val="left" w:pos="1553"/>
        </w:tabs>
        <w:kinsoku w:val="0"/>
        <w:overflowPunct w:val="0"/>
        <w:ind w:left="0" w:firstLine="0"/>
        <w:jc w:val="center"/>
        <w:rPr>
          <w:spacing w:val="-1"/>
        </w:rPr>
      </w:pPr>
    </w:p>
    <w:p w14:paraId="7E282A52">
      <w:pPr>
        <w:pStyle w:val="6"/>
        <w:tabs>
          <w:tab w:val="left" w:pos="1553"/>
        </w:tabs>
        <w:kinsoku w:val="0"/>
        <w:overflowPunct w:val="0"/>
        <w:ind w:left="0" w:firstLine="0"/>
        <w:jc w:val="center"/>
        <w:rPr>
          <w:spacing w:val="-1"/>
        </w:rPr>
      </w:pPr>
      <w:r>
        <w:rPr>
          <w:spacing w:val="-1"/>
        </w:rPr>
        <w:t>Članak 4</w:t>
      </w:r>
    </w:p>
    <w:p w14:paraId="7E282A53">
      <w:pPr>
        <w:pStyle w:val="6"/>
        <w:tabs>
          <w:tab w:val="left" w:pos="1553"/>
        </w:tabs>
        <w:kinsoku w:val="0"/>
        <w:overflowPunct w:val="0"/>
        <w:ind w:left="0" w:firstLine="0"/>
        <w:jc w:val="center"/>
        <w:rPr>
          <w:spacing w:val="-1"/>
        </w:rPr>
      </w:pPr>
    </w:p>
    <w:p w14:paraId="7E282A54">
      <w:pPr>
        <w:pStyle w:val="6"/>
        <w:tabs>
          <w:tab w:val="left" w:pos="1553"/>
        </w:tabs>
        <w:kinsoku w:val="0"/>
        <w:overflowPunct w:val="0"/>
        <w:ind w:left="0" w:firstLine="0"/>
        <w:jc w:val="center"/>
        <w:rPr>
          <w:b/>
          <w:spacing w:val="-1"/>
        </w:rPr>
      </w:pPr>
      <w:r>
        <w:rPr>
          <w:b/>
          <w:spacing w:val="-1"/>
        </w:rPr>
        <w:t>Obrazloženje općeg dijela Godišnjeg izvještaja o izvršenju financijskog plana za 202</w:t>
      </w:r>
      <w:r>
        <w:rPr>
          <w:rFonts w:hint="default"/>
          <w:b/>
          <w:spacing w:val="-1"/>
          <w:lang w:val="hr-HR"/>
        </w:rPr>
        <w:t>5</w:t>
      </w:r>
      <w:r>
        <w:rPr>
          <w:b/>
          <w:spacing w:val="-1"/>
        </w:rPr>
        <w:t>.</w:t>
      </w:r>
    </w:p>
    <w:p w14:paraId="7E282A55">
      <w:pPr>
        <w:pStyle w:val="6"/>
        <w:tabs>
          <w:tab w:val="left" w:pos="1553"/>
        </w:tabs>
        <w:kinsoku w:val="0"/>
        <w:overflowPunct w:val="0"/>
        <w:ind w:left="0" w:firstLine="0"/>
        <w:jc w:val="center"/>
        <w:rPr>
          <w:b/>
          <w:spacing w:val="-1"/>
        </w:rPr>
      </w:pPr>
    </w:p>
    <w:p w14:paraId="7E282A56">
      <w:pPr>
        <w:pStyle w:val="6"/>
        <w:tabs>
          <w:tab w:val="left" w:pos="2945"/>
        </w:tabs>
        <w:kinsoku w:val="0"/>
        <w:overflowPunct w:val="0"/>
        <w:ind w:right="110"/>
        <w:rPr>
          <w:spacing w:val="-1"/>
          <w:u w:val="single"/>
        </w:rPr>
      </w:pPr>
      <w:r>
        <w:rPr>
          <w:spacing w:val="-1"/>
        </w:rPr>
        <w:t xml:space="preserve">                            </w:t>
      </w:r>
      <w:r>
        <w:rPr>
          <w:spacing w:val="-1"/>
          <w:u w:val="single"/>
        </w:rPr>
        <w:t>Obrazloženje</w:t>
      </w:r>
      <w:r>
        <w:rPr>
          <w:u w:val="single"/>
        </w:rPr>
        <w:t xml:space="preserve"> </w:t>
      </w:r>
      <w:r>
        <w:rPr>
          <w:spacing w:val="8"/>
          <w:u w:val="single"/>
        </w:rPr>
        <w:t xml:space="preserve"> </w:t>
      </w:r>
      <w:r>
        <w:rPr>
          <w:spacing w:val="-1"/>
          <w:u w:val="single"/>
        </w:rPr>
        <w:t>ostvarenja</w:t>
      </w:r>
      <w:r>
        <w:rPr>
          <w:u w:val="single"/>
        </w:rPr>
        <w:t xml:space="preserve"> </w:t>
      </w:r>
      <w:r>
        <w:rPr>
          <w:spacing w:val="11"/>
          <w:u w:val="single"/>
        </w:rPr>
        <w:t xml:space="preserve"> </w:t>
      </w:r>
      <w:r>
        <w:rPr>
          <w:spacing w:val="-1"/>
          <w:u w:val="single"/>
        </w:rPr>
        <w:t>prihoda</w:t>
      </w:r>
      <w:r>
        <w:rPr>
          <w:u w:val="single"/>
        </w:rPr>
        <w:t xml:space="preserve"> </w:t>
      </w:r>
      <w:r>
        <w:rPr>
          <w:spacing w:val="8"/>
          <w:u w:val="single"/>
        </w:rPr>
        <w:t xml:space="preserve"> </w:t>
      </w:r>
      <w:r>
        <w:rPr>
          <w:u w:val="single"/>
        </w:rPr>
        <w:t xml:space="preserve">i </w:t>
      </w:r>
      <w:r>
        <w:rPr>
          <w:spacing w:val="10"/>
          <w:u w:val="single"/>
        </w:rPr>
        <w:t xml:space="preserve"> </w:t>
      </w:r>
      <w:r>
        <w:rPr>
          <w:spacing w:val="-1"/>
          <w:u w:val="single"/>
        </w:rPr>
        <w:t>rashoda,</w:t>
      </w:r>
      <w:r>
        <w:rPr>
          <w:u w:val="single"/>
        </w:rPr>
        <w:t xml:space="preserve"> </w:t>
      </w:r>
      <w:r>
        <w:rPr>
          <w:spacing w:val="9"/>
          <w:u w:val="single"/>
        </w:rPr>
        <w:t xml:space="preserve"> </w:t>
      </w:r>
      <w:r>
        <w:rPr>
          <w:spacing w:val="-1"/>
          <w:u w:val="single"/>
        </w:rPr>
        <w:t>primitaka</w:t>
      </w:r>
      <w:r>
        <w:rPr>
          <w:u w:val="single"/>
        </w:rPr>
        <w:t xml:space="preserve"> </w:t>
      </w:r>
      <w:r>
        <w:rPr>
          <w:spacing w:val="8"/>
          <w:u w:val="single"/>
        </w:rPr>
        <w:t xml:space="preserve"> </w:t>
      </w:r>
      <w:r>
        <w:rPr>
          <w:u w:val="single"/>
        </w:rPr>
        <w:t xml:space="preserve">i </w:t>
      </w:r>
      <w:r>
        <w:rPr>
          <w:spacing w:val="10"/>
          <w:u w:val="single"/>
        </w:rPr>
        <w:t xml:space="preserve"> </w:t>
      </w:r>
      <w:r>
        <w:rPr>
          <w:spacing w:val="-1"/>
          <w:u w:val="single"/>
        </w:rPr>
        <w:t>izdataka</w:t>
      </w:r>
      <w:r>
        <w:rPr>
          <w:u w:val="single"/>
        </w:rPr>
        <w:t xml:space="preserve"> </w:t>
      </w:r>
      <w:r>
        <w:rPr>
          <w:spacing w:val="8"/>
          <w:u w:val="single"/>
        </w:rPr>
        <w:t xml:space="preserve"> </w:t>
      </w:r>
      <w:r>
        <w:rPr>
          <w:u w:val="single"/>
        </w:rPr>
        <w:t>u</w:t>
      </w:r>
      <w:r>
        <w:rPr>
          <w:spacing w:val="81"/>
          <w:u w:val="single"/>
        </w:rPr>
        <w:t xml:space="preserve"> </w:t>
      </w:r>
      <w:r>
        <w:rPr>
          <w:spacing w:val="-1"/>
          <w:u w:val="single"/>
        </w:rPr>
        <w:t>izvještajnom</w:t>
      </w:r>
      <w:r>
        <w:rPr>
          <w:u w:val="single"/>
        </w:rPr>
        <w:t xml:space="preserve"> </w:t>
      </w:r>
      <w:r>
        <w:rPr>
          <w:spacing w:val="-1"/>
          <w:u w:val="single"/>
        </w:rPr>
        <w:t>razdoblju</w:t>
      </w:r>
    </w:p>
    <w:p w14:paraId="7E282A57">
      <w:pPr>
        <w:suppressAutoHyphens/>
        <w:ind w:firstLine="708"/>
        <w:jc w:val="both"/>
        <w:rPr>
          <w:u w:val="single"/>
        </w:rPr>
      </w:pPr>
    </w:p>
    <w:p w14:paraId="7E282A58">
      <w:pPr>
        <w:suppressAutoHyphens/>
        <w:ind w:firstLine="708"/>
        <w:jc w:val="both"/>
        <w:rPr>
          <w:rFonts w:eastAsia="Times New Roman"/>
          <w:lang w:eastAsia="ar-SA"/>
        </w:rPr>
      </w:pPr>
      <w:r>
        <w:t xml:space="preserve">Sukladno odredbama Zakona o proračunu  i Pravilnika o polugodišnjem i godišnjem izvještaju o izvršenju proračuna i financijskog plana </w:t>
      </w:r>
      <w:r>
        <w:rPr>
          <w:rFonts w:eastAsia="Times New Roman"/>
          <w:lang w:eastAsia="ar-SA"/>
        </w:rPr>
        <w:t xml:space="preserve">propisana je obveza sastavljanja i podnošenja Godišnjeg izvještaja o izvršenju financijskog plana za proteklu godinu do 31. 3. </w:t>
      </w:r>
      <w:r>
        <w:rPr>
          <w:lang w:eastAsia="ar-SA"/>
        </w:rPr>
        <w:t>tekuće proračunske godine.</w:t>
      </w:r>
      <w:r>
        <w:rPr>
          <w:rFonts w:eastAsia="Times New Roman"/>
          <w:lang w:eastAsia="ar-SA"/>
        </w:rPr>
        <w:t xml:space="preserve"> Ovaj Godišnji izvještaj o izvršenju financijskog plana</w:t>
      </w:r>
      <w:r>
        <w:rPr>
          <w:lang w:eastAsia="ar-SA"/>
        </w:rPr>
        <w:t xml:space="preserve"> izrađuje se na bazi važećeg </w:t>
      </w:r>
      <w:r>
        <w:rPr>
          <w:rFonts w:eastAsia="Times New Roman"/>
          <w:lang w:eastAsia="ar-SA"/>
        </w:rPr>
        <w:t>financijskog plana na dan 31. 12. 202</w:t>
      </w:r>
      <w:r>
        <w:rPr>
          <w:rFonts w:hint="default" w:eastAsia="Times New Roman"/>
          <w:lang w:val="hr-HR" w:eastAsia="ar-SA"/>
        </w:rPr>
        <w:t>5</w:t>
      </w:r>
      <w:r>
        <w:rPr>
          <w:rFonts w:eastAsia="Times New Roman"/>
          <w:lang w:eastAsia="ar-SA"/>
        </w:rPr>
        <w:t>. godine.</w:t>
      </w:r>
    </w:p>
    <w:p w14:paraId="7E282A59">
      <w:pPr>
        <w:pStyle w:val="6"/>
        <w:tabs>
          <w:tab w:val="left" w:pos="1553"/>
        </w:tabs>
        <w:kinsoku w:val="0"/>
        <w:overflowPunct w:val="0"/>
        <w:ind w:left="0" w:firstLine="0"/>
        <w:rPr>
          <w:spacing w:val="-1"/>
        </w:rPr>
      </w:pPr>
      <w:r>
        <w:rPr>
          <w:spacing w:val="-1"/>
        </w:rPr>
        <w:t>Ukupni prihodi za 202</w:t>
      </w:r>
      <w:r>
        <w:rPr>
          <w:rFonts w:hint="default"/>
          <w:spacing w:val="-1"/>
          <w:lang w:val="hr-HR"/>
        </w:rPr>
        <w:t>5</w:t>
      </w:r>
      <w:r>
        <w:rPr>
          <w:spacing w:val="-1"/>
        </w:rPr>
        <w:t>. godinu planirani su u iznosu od 2.48</w:t>
      </w:r>
      <w:r>
        <w:rPr>
          <w:rFonts w:hint="default"/>
          <w:spacing w:val="-1"/>
          <w:lang w:val="hr-HR"/>
        </w:rPr>
        <w:t>9</w:t>
      </w:r>
      <w:r>
        <w:rPr>
          <w:spacing w:val="-1"/>
        </w:rPr>
        <w:t>.</w:t>
      </w:r>
      <w:r>
        <w:rPr>
          <w:rFonts w:hint="default"/>
          <w:spacing w:val="-1"/>
          <w:lang w:val="hr-HR"/>
        </w:rPr>
        <w:t>895,49</w:t>
      </w:r>
      <w:r>
        <w:rPr>
          <w:spacing w:val="-1"/>
        </w:rPr>
        <w:t>€ a ostvareni su u iznosu od 2.1</w:t>
      </w:r>
      <w:r>
        <w:rPr>
          <w:rFonts w:hint="default"/>
          <w:spacing w:val="-1"/>
          <w:lang w:val="hr-HR"/>
        </w:rPr>
        <w:t>62</w:t>
      </w:r>
      <w:r>
        <w:rPr>
          <w:spacing w:val="-1"/>
        </w:rPr>
        <w:t>.</w:t>
      </w:r>
      <w:r>
        <w:rPr>
          <w:rFonts w:hint="default"/>
          <w:spacing w:val="-1"/>
          <w:lang w:val="hr-HR"/>
        </w:rPr>
        <w:t>963,42</w:t>
      </w:r>
      <w:r>
        <w:rPr>
          <w:spacing w:val="-1"/>
        </w:rPr>
        <w:t xml:space="preserve">€ odnosno </w:t>
      </w:r>
      <w:r>
        <w:rPr>
          <w:rFonts w:hint="default"/>
          <w:spacing w:val="-1"/>
          <w:lang w:val="hr-HR"/>
        </w:rPr>
        <w:t>86,87</w:t>
      </w:r>
      <w:r>
        <w:rPr>
          <w:spacing w:val="-1"/>
        </w:rPr>
        <w:t>% planiranog</w:t>
      </w:r>
    </w:p>
    <w:p w14:paraId="7E282A5A">
      <w:pPr>
        <w:pStyle w:val="6"/>
        <w:tabs>
          <w:tab w:val="left" w:pos="1553"/>
        </w:tabs>
        <w:kinsoku w:val="0"/>
        <w:overflowPunct w:val="0"/>
        <w:ind w:left="0" w:firstLine="0"/>
        <w:rPr>
          <w:spacing w:val="-1"/>
        </w:rPr>
      </w:pPr>
      <w:r>
        <w:rPr>
          <w:spacing w:val="-1"/>
        </w:rPr>
        <w:t>Ukupni rashodi iznose 2.</w:t>
      </w:r>
      <w:r>
        <w:rPr>
          <w:rFonts w:hint="default"/>
          <w:spacing w:val="-1"/>
          <w:lang w:val="hr-HR"/>
        </w:rPr>
        <w:t>419</w:t>
      </w:r>
      <w:r>
        <w:rPr>
          <w:spacing w:val="-1"/>
        </w:rPr>
        <w:t>.</w:t>
      </w:r>
      <w:r>
        <w:rPr>
          <w:rFonts w:hint="default"/>
          <w:spacing w:val="-1"/>
          <w:lang w:val="hr-HR"/>
        </w:rPr>
        <w:t>448,20</w:t>
      </w:r>
      <w:r>
        <w:rPr>
          <w:spacing w:val="-1"/>
        </w:rPr>
        <w:t>€ odnosno 9</w:t>
      </w:r>
      <w:r>
        <w:rPr>
          <w:rFonts w:hint="default"/>
          <w:spacing w:val="-1"/>
          <w:lang w:val="hr-HR"/>
        </w:rPr>
        <w:t>4,13</w:t>
      </w:r>
      <w:r>
        <w:rPr>
          <w:spacing w:val="-1"/>
        </w:rPr>
        <w:t>% u odnosu na plan od čega rashodi poslovanja iznose 2.</w:t>
      </w:r>
      <w:r>
        <w:rPr>
          <w:rFonts w:hint="default"/>
          <w:spacing w:val="-1"/>
          <w:lang w:val="hr-HR"/>
        </w:rPr>
        <w:t>359.578,42</w:t>
      </w:r>
      <w:r>
        <w:rPr>
          <w:spacing w:val="-1"/>
        </w:rPr>
        <w:t>€ odnosno 94,</w:t>
      </w:r>
      <w:r>
        <w:rPr>
          <w:rFonts w:hint="default"/>
          <w:spacing w:val="-1"/>
          <w:lang w:val="hr-HR"/>
        </w:rPr>
        <w:t>58</w:t>
      </w:r>
      <w:r>
        <w:rPr>
          <w:spacing w:val="-1"/>
        </w:rPr>
        <w:t>% planiranog a rashodi za nabavu nefinancijske imovine 5</w:t>
      </w:r>
      <w:r>
        <w:rPr>
          <w:rFonts w:hint="default"/>
          <w:spacing w:val="-1"/>
          <w:lang w:val="hr-HR"/>
        </w:rPr>
        <w:t>9</w:t>
      </w:r>
      <w:r>
        <w:rPr>
          <w:spacing w:val="-1"/>
        </w:rPr>
        <w:t>.</w:t>
      </w:r>
      <w:r>
        <w:rPr>
          <w:rFonts w:hint="default"/>
          <w:spacing w:val="-1"/>
          <w:lang w:val="hr-HR"/>
        </w:rPr>
        <w:t>869,78</w:t>
      </w:r>
      <w:r>
        <w:rPr>
          <w:spacing w:val="-1"/>
        </w:rPr>
        <w:t xml:space="preserve">€ ili </w:t>
      </w:r>
      <w:r>
        <w:rPr>
          <w:rFonts w:hint="default"/>
          <w:spacing w:val="-1"/>
          <w:lang w:val="hr-HR"/>
        </w:rPr>
        <w:t>79,30</w:t>
      </w:r>
      <w:r>
        <w:rPr>
          <w:spacing w:val="-1"/>
        </w:rPr>
        <w:t>% planiranog.</w:t>
      </w:r>
    </w:p>
    <w:p w14:paraId="7E282A5B">
      <w:pPr>
        <w:pStyle w:val="6"/>
        <w:tabs>
          <w:tab w:val="left" w:pos="1553"/>
        </w:tabs>
        <w:kinsoku w:val="0"/>
        <w:overflowPunct w:val="0"/>
        <w:ind w:left="0" w:firstLine="0"/>
        <w:rPr>
          <w:spacing w:val="-1"/>
        </w:rPr>
      </w:pPr>
    </w:p>
    <w:p w14:paraId="7E282A5C">
      <w:pPr>
        <w:pStyle w:val="6"/>
        <w:tabs>
          <w:tab w:val="left" w:pos="1553"/>
        </w:tabs>
        <w:kinsoku w:val="0"/>
        <w:overflowPunct w:val="0"/>
        <w:ind w:left="0" w:firstLine="0"/>
        <w:rPr>
          <w:spacing w:val="-1"/>
        </w:rPr>
      </w:pPr>
      <w:r>
        <w:rPr>
          <w:b/>
          <w:spacing w:val="-1"/>
        </w:rPr>
        <w:t>PRIHODI</w:t>
      </w:r>
      <w:r>
        <w:rPr>
          <w:spacing w:val="-1"/>
        </w:rPr>
        <w:t xml:space="preserve"> se sastoje od:</w:t>
      </w:r>
    </w:p>
    <w:p w14:paraId="7E282A5D">
      <w:pPr>
        <w:widowControl/>
        <w:autoSpaceDE/>
        <w:autoSpaceDN/>
        <w:adjustRightInd/>
        <w:rPr>
          <w:spacing w:val="-1"/>
        </w:rPr>
      </w:pPr>
      <w:r>
        <w:rPr>
          <w:spacing w:val="-1"/>
        </w:rPr>
        <w:t>-</w:t>
      </w:r>
      <w:r>
        <w:rPr>
          <w:b/>
          <w:spacing w:val="-1"/>
        </w:rPr>
        <w:t xml:space="preserve">Pomoći iz inozemstva i od subjekata unutar općeg proračuna </w:t>
      </w:r>
      <w:r>
        <w:rPr>
          <w:spacing w:val="-1"/>
        </w:rPr>
        <w:t>planirane su u iznosu od 2.</w:t>
      </w:r>
      <w:r>
        <w:rPr>
          <w:rFonts w:hint="default"/>
          <w:spacing w:val="-1"/>
          <w:lang w:val="hr-HR"/>
        </w:rPr>
        <w:t xml:space="preserve">409.853,00 </w:t>
      </w:r>
      <w:r>
        <w:rPr>
          <w:spacing w:val="-1"/>
        </w:rPr>
        <w:t>€ a ostvarene u iznosu od 2.0</w:t>
      </w:r>
      <w:r>
        <w:rPr>
          <w:rFonts w:hint="default"/>
          <w:spacing w:val="-1"/>
          <w:lang w:val="hr-HR"/>
        </w:rPr>
        <w:t>90</w:t>
      </w:r>
      <w:r>
        <w:rPr>
          <w:spacing w:val="-1"/>
        </w:rPr>
        <w:t>.</w:t>
      </w:r>
      <w:r>
        <w:rPr>
          <w:rFonts w:hint="default"/>
          <w:spacing w:val="-1"/>
          <w:lang w:val="hr-HR"/>
        </w:rPr>
        <w:t>374,86</w:t>
      </w:r>
      <w:r>
        <w:rPr>
          <w:spacing w:val="-1"/>
        </w:rPr>
        <w:t xml:space="preserve">€ ili </w:t>
      </w:r>
      <w:r>
        <w:rPr>
          <w:rFonts w:hint="default"/>
          <w:spacing w:val="-1"/>
          <w:lang w:val="hr-HR"/>
        </w:rPr>
        <w:t>86,74</w:t>
      </w:r>
      <w:r>
        <w:rPr>
          <w:spacing w:val="-1"/>
        </w:rPr>
        <w:t>%</w:t>
      </w:r>
    </w:p>
    <w:p w14:paraId="7E282A5E">
      <w:pPr>
        <w:pStyle w:val="6"/>
        <w:tabs>
          <w:tab w:val="left" w:pos="1553"/>
        </w:tabs>
        <w:kinsoku w:val="0"/>
        <w:overflowPunct w:val="0"/>
        <w:ind w:left="0" w:firstLine="0"/>
        <w:rPr>
          <w:rFonts w:hint="default"/>
          <w:spacing w:val="-1"/>
          <w:lang w:val="hr-HR"/>
        </w:rPr>
      </w:pPr>
      <w:r>
        <w:rPr>
          <w:spacing w:val="-1"/>
        </w:rPr>
        <w:t>Navedene pomoći čine pomoći iz proračuna koji nam nije nadležan odnosno pomoći od Ministarstva znanosti, obrazovanja i mladih za troškove plaća, doprinose na plaće, prijevoz zaposlenika i ostala materijalna prava, sredstva za prehranu učenika te za Eksperimentalni program cjelodnevne škole, pomoći od Općine Špišić Bukovica</w:t>
      </w:r>
      <w:r>
        <w:rPr>
          <w:rFonts w:hint="default"/>
          <w:spacing w:val="-1"/>
          <w:lang w:val="hr-HR"/>
        </w:rPr>
        <w:t>,</w:t>
      </w:r>
      <w:r>
        <w:rPr>
          <w:spacing w:val="-1"/>
        </w:rPr>
        <w:t xml:space="preserve"> tekuće pomoći temeljem prijenosa EU sredstava za pomoćnike u nastavi projekt In-in integracija i inkluzija </w:t>
      </w:r>
      <w:r>
        <w:rPr>
          <w:rFonts w:hint="default"/>
          <w:spacing w:val="-1"/>
          <w:lang w:val="hr-HR"/>
        </w:rPr>
        <w:t>i</w:t>
      </w:r>
      <w:r>
        <w:rPr>
          <w:spacing w:val="-1"/>
        </w:rPr>
        <w:t xml:space="preserve"> projekt Školska shema</w:t>
      </w:r>
      <w:r>
        <w:rPr>
          <w:rFonts w:hint="default"/>
          <w:spacing w:val="-1"/>
          <w:lang w:val="hr-HR"/>
        </w:rPr>
        <w:t xml:space="preserve"> te prihod za zaštitu bijele rode</w:t>
      </w:r>
    </w:p>
    <w:p w14:paraId="223DF3D8">
      <w:pPr>
        <w:pStyle w:val="6"/>
        <w:tabs>
          <w:tab w:val="left" w:pos="1553"/>
        </w:tabs>
        <w:kinsoku w:val="0"/>
        <w:overflowPunct w:val="0"/>
        <w:ind w:left="0" w:firstLine="0"/>
        <w:rPr>
          <w:rFonts w:hint="default"/>
          <w:spacing w:val="-1"/>
          <w:lang w:val="hr-HR"/>
        </w:rPr>
      </w:pPr>
      <w:r>
        <w:rPr>
          <w:rFonts w:hint="default"/>
          <w:spacing w:val="-1"/>
          <w:lang w:val="hr-HR"/>
        </w:rPr>
        <w:t>-</w:t>
      </w:r>
      <w:r>
        <w:rPr>
          <w:rFonts w:hint="default"/>
          <w:b/>
          <w:bCs/>
          <w:spacing w:val="-1"/>
          <w:lang w:val="hr-HR"/>
        </w:rPr>
        <w:t>Prihodi po posebnim propisima</w:t>
      </w:r>
      <w:r>
        <w:rPr>
          <w:rFonts w:hint="default"/>
          <w:spacing w:val="-1"/>
          <w:lang w:val="hr-HR"/>
        </w:rPr>
        <w:t xml:space="preserve"> odnose se na sufinanciranje roditelja i iznose 1.656,00€ ili 33,12% planiranog</w:t>
      </w:r>
    </w:p>
    <w:p w14:paraId="7E282A5F">
      <w:pPr>
        <w:pStyle w:val="6"/>
        <w:tabs>
          <w:tab w:val="left" w:pos="1553"/>
        </w:tabs>
        <w:kinsoku w:val="0"/>
        <w:overflowPunct w:val="0"/>
        <w:ind w:left="0" w:firstLine="0"/>
        <w:rPr>
          <w:spacing w:val="-1"/>
        </w:rPr>
      </w:pPr>
      <w:r>
        <w:rPr>
          <w:spacing w:val="-1"/>
        </w:rPr>
        <w:t>-</w:t>
      </w:r>
      <w:r>
        <w:rPr>
          <w:b/>
          <w:spacing w:val="-1"/>
        </w:rPr>
        <w:t>Prihodi od prodaje proizvoda i pruženih usluga i prihodi od donacija</w:t>
      </w:r>
      <w:r>
        <w:rPr>
          <w:spacing w:val="-1"/>
        </w:rPr>
        <w:t xml:space="preserve"> odnose se na prihod od najma školske sportske dvorane i školskih stanova te donacije trgovačkih društava ostvarenih u iznosu od </w:t>
      </w:r>
      <w:r>
        <w:rPr>
          <w:rFonts w:hint="default"/>
          <w:spacing w:val="-1"/>
          <w:lang w:val="hr-HR"/>
        </w:rPr>
        <w:t>3</w:t>
      </w:r>
      <w:r>
        <w:rPr>
          <w:spacing w:val="-1"/>
        </w:rPr>
        <w:t>.</w:t>
      </w:r>
      <w:r>
        <w:rPr>
          <w:rFonts w:hint="default"/>
          <w:spacing w:val="-1"/>
          <w:lang w:val="hr-HR"/>
        </w:rPr>
        <w:t>805,96</w:t>
      </w:r>
      <w:r>
        <w:rPr>
          <w:spacing w:val="-1"/>
        </w:rPr>
        <w:t xml:space="preserve">€ ili </w:t>
      </w:r>
      <w:r>
        <w:rPr>
          <w:rFonts w:hint="default"/>
          <w:spacing w:val="-1"/>
          <w:lang w:val="hr-HR"/>
        </w:rPr>
        <w:t>6</w:t>
      </w:r>
      <w:r>
        <w:rPr>
          <w:spacing w:val="-1"/>
        </w:rPr>
        <w:t>6,</w:t>
      </w:r>
      <w:r>
        <w:rPr>
          <w:rFonts w:hint="default"/>
          <w:spacing w:val="-1"/>
          <w:lang w:val="hr-HR"/>
        </w:rPr>
        <w:t>15</w:t>
      </w:r>
      <w:r>
        <w:rPr>
          <w:spacing w:val="-1"/>
        </w:rPr>
        <w:t>% planiranog</w:t>
      </w:r>
    </w:p>
    <w:p w14:paraId="7E282A60">
      <w:pPr>
        <w:pStyle w:val="6"/>
        <w:tabs>
          <w:tab w:val="left" w:pos="1553"/>
        </w:tabs>
        <w:kinsoku w:val="0"/>
        <w:overflowPunct w:val="0"/>
        <w:ind w:left="0" w:firstLine="0"/>
        <w:rPr>
          <w:spacing w:val="-1"/>
        </w:rPr>
      </w:pPr>
      <w:r>
        <w:rPr>
          <w:spacing w:val="-1"/>
        </w:rPr>
        <w:t>-</w:t>
      </w:r>
      <w:r>
        <w:rPr>
          <w:b/>
          <w:spacing w:val="-1"/>
        </w:rPr>
        <w:t>Prihodi iz nadležnog proračuna</w:t>
      </w:r>
      <w:r>
        <w:rPr>
          <w:spacing w:val="-1"/>
        </w:rPr>
        <w:t xml:space="preserve"> ostvareni su u iznosu od </w:t>
      </w:r>
      <w:r>
        <w:rPr>
          <w:rFonts w:hint="default"/>
          <w:spacing w:val="-1"/>
          <w:lang w:val="hr-HR"/>
        </w:rPr>
        <w:t>67.057,50</w:t>
      </w:r>
      <w:r>
        <w:rPr>
          <w:spacing w:val="-1"/>
        </w:rPr>
        <w:t>€ ili 9</w:t>
      </w:r>
      <w:r>
        <w:rPr>
          <w:rFonts w:hint="default"/>
          <w:spacing w:val="-1"/>
          <w:lang w:val="hr-HR"/>
        </w:rPr>
        <w:t>8</w:t>
      </w:r>
      <w:r>
        <w:rPr>
          <w:spacing w:val="-1"/>
        </w:rPr>
        <w:t>,</w:t>
      </w:r>
      <w:r>
        <w:rPr>
          <w:rFonts w:hint="default"/>
          <w:spacing w:val="-1"/>
          <w:lang w:val="hr-HR"/>
        </w:rPr>
        <w:t>02</w:t>
      </w:r>
      <w:r>
        <w:rPr>
          <w:spacing w:val="-1"/>
        </w:rPr>
        <w:t>% planiranog a odnose se na prihod iz proračuna Virovitičko-podravske županije za financiranje rashoda poslovanja po decentralizaciji i natjecanje učenika</w:t>
      </w:r>
    </w:p>
    <w:p w14:paraId="7E282A61">
      <w:pPr>
        <w:pStyle w:val="6"/>
        <w:tabs>
          <w:tab w:val="left" w:pos="1553"/>
        </w:tabs>
        <w:kinsoku w:val="0"/>
        <w:overflowPunct w:val="0"/>
        <w:ind w:left="0" w:firstLine="0"/>
        <w:rPr>
          <w:spacing w:val="-1"/>
        </w:rPr>
      </w:pPr>
    </w:p>
    <w:p w14:paraId="7E282A62">
      <w:pPr>
        <w:pStyle w:val="6"/>
        <w:tabs>
          <w:tab w:val="left" w:pos="1553"/>
        </w:tabs>
        <w:kinsoku w:val="0"/>
        <w:overflowPunct w:val="0"/>
        <w:ind w:left="0" w:firstLine="0"/>
        <w:rPr>
          <w:spacing w:val="-1"/>
        </w:rPr>
      </w:pPr>
      <w:r>
        <w:rPr>
          <w:b/>
          <w:spacing w:val="-1"/>
        </w:rPr>
        <w:t>RASHODI</w:t>
      </w:r>
      <w:r>
        <w:rPr>
          <w:spacing w:val="-1"/>
        </w:rPr>
        <w:t xml:space="preserve"> se sastoje od:</w:t>
      </w:r>
    </w:p>
    <w:p w14:paraId="7E282A63">
      <w:pPr>
        <w:pStyle w:val="6"/>
        <w:tabs>
          <w:tab w:val="left" w:pos="1553"/>
        </w:tabs>
        <w:kinsoku w:val="0"/>
        <w:overflowPunct w:val="0"/>
        <w:ind w:left="0" w:firstLine="0"/>
        <w:rPr>
          <w:spacing w:val="-1"/>
        </w:rPr>
      </w:pPr>
      <w:r>
        <w:rPr>
          <w:spacing w:val="-1"/>
        </w:rPr>
        <w:t>-</w:t>
      </w:r>
      <w:r>
        <w:rPr>
          <w:b/>
          <w:spacing w:val="-1"/>
        </w:rPr>
        <w:t>Rashoda za zaposlene</w:t>
      </w:r>
      <w:r>
        <w:rPr>
          <w:spacing w:val="-1"/>
        </w:rPr>
        <w:t xml:space="preserve"> u iznosu od 1.</w:t>
      </w:r>
      <w:r>
        <w:rPr>
          <w:rFonts w:hint="default"/>
          <w:spacing w:val="-1"/>
          <w:lang w:val="hr-HR"/>
        </w:rPr>
        <w:t>975.029,72</w:t>
      </w:r>
      <w:r>
        <w:rPr>
          <w:spacing w:val="-1"/>
        </w:rPr>
        <w:t>€  ili 95,</w:t>
      </w:r>
      <w:r>
        <w:rPr>
          <w:rFonts w:hint="default"/>
          <w:spacing w:val="-1"/>
          <w:lang w:val="hr-HR"/>
        </w:rPr>
        <w:t>61</w:t>
      </w:r>
      <w:r>
        <w:rPr>
          <w:spacing w:val="-1"/>
        </w:rPr>
        <w:t>% planiranog a odnose se na plaće, doprinose na plaće , pomoći, jubilarne nagrade, regres za godišnji odmor te ostala prava u skladu s Temeljnim kolektivnim ugovorom za zaposlenike u javnim službama te Kolektivnim ugovorom za zaposlenike u osnovnoškolskim ustanovama</w:t>
      </w:r>
    </w:p>
    <w:p w14:paraId="7E282A64">
      <w:pPr>
        <w:pStyle w:val="6"/>
        <w:tabs>
          <w:tab w:val="left" w:pos="1553"/>
        </w:tabs>
        <w:kinsoku w:val="0"/>
        <w:overflowPunct w:val="0"/>
        <w:ind w:left="0" w:firstLine="0"/>
        <w:rPr>
          <w:spacing w:val="-1"/>
        </w:rPr>
      </w:pPr>
      <w:r>
        <w:rPr>
          <w:spacing w:val="-1"/>
        </w:rPr>
        <w:t>-</w:t>
      </w:r>
      <w:r>
        <w:rPr>
          <w:b/>
          <w:spacing w:val="-1"/>
        </w:rPr>
        <w:t>Materijalni rashodi</w:t>
      </w:r>
      <w:r>
        <w:rPr>
          <w:spacing w:val="-1"/>
        </w:rPr>
        <w:t xml:space="preserve"> u iznosu od </w:t>
      </w:r>
      <w:r>
        <w:rPr>
          <w:rFonts w:hint="default"/>
          <w:spacing w:val="-1"/>
          <w:lang w:val="hr-HR"/>
        </w:rPr>
        <w:t>351.031,34</w:t>
      </w:r>
      <w:r>
        <w:rPr>
          <w:spacing w:val="-1"/>
        </w:rPr>
        <w:t>€ ili 8</w:t>
      </w:r>
      <w:r>
        <w:rPr>
          <w:rFonts w:hint="default"/>
          <w:spacing w:val="-1"/>
          <w:lang w:val="hr-HR"/>
        </w:rPr>
        <w:t>8</w:t>
      </w:r>
      <w:r>
        <w:rPr>
          <w:spacing w:val="-1"/>
        </w:rPr>
        <w:t>,</w:t>
      </w:r>
      <w:r>
        <w:rPr>
          <w:rFonts w:hint="default"/>
          <w:spacing w:val="-1"/>
          <w:lang w:val="hr-HR"/>
        </w:rPr>
        <w:t>8</w:t>
      </w:r>
      <w:r>
        <w:rPr>
          <w:spacing w:val="-1"/>
        </w:rPr>
        <w:t>2% planiranog koje čine rashodi za službena putovanja, uredski materijal, sredstva za čišćenje, ostali materijal za potrebe redovnog poslovanja, namirnice za školsku kuhinju, energenti, materijal za tekuće održavanje, sitni inventar, rashodi za usluge telefona pošte i prijevoza, usluge tekućeg održavanja, komunalne usluge, zdravstvene usluge, računalne i ostale usluge te ostali rashodi poslovanja</w:t>
      </w:r>
    </w:p>
    <w:p w14:paraId="7E282A65">
      <w:pPr>
        <w:pStyle w:val="6"/>
        <w:tabs>
          <w:tab w:val="left" w:pos="1553"/>
        </w:tabs>
        <w:kinsoku w:val="0"/>
        <w:overflowPunct w:val="0"/>
        <w:ind w:left="0" w:firstLine="0"/>
        <w:rPr>
          <w:spacing w:val="-1"/>
        </w:rPr>
      </w:pPr>
      <w:r>
        <w:rPr>
          <w:spacing w:val="-1"/>
        </w:rPr>
        <w:t>-</w:t>
      </w:r>
      <w:r>
        <w:rPr>
          <w:b/>
          <w:spacing w:val="-1"/>
        </w:rPr>
        <w:t>Financijski rashodi</w:t>
      </w:r>
      <w:r>
        <w:rPr>
          <w:spacing w:val="-1"/>
        </w:rPr>
        <w:t xml:space="preserve"> u iznosu od </w:t>
      </w:r>
      <w:r>
        <w:rPr>
          <w:rFonts w:hint="default"/>
          <w:spacing w:val="-1"/>
          <w:lang w:val="hr-HR"/>
        </w:rPr>
        <w:t>52,42</w:t>
      </w:r>
      <w:r>
        <w:rPr>
          <w:spacing w:val="-1"/>
        </w:rPr>
        <w:t>€ odnose se na zatezne kamate</w:t>
      </w:r>
    </w:p>
    <w:p w14:paraId="120B63CC">
      <w:pPr>
        <w:pStyle w:val="6"/>
        <w:tabs>
          <w:tab w:val="left" w:pos="1553"/>
        </w:tabs>
        <w:kinsoku w:val="0"/>
        <w:overflowPunct w:val="0"/>
        <w:ind w:left="0" w:firstLine="0"/>
        <w:rPr>
          <w:spacing w:val="-1"/>
        </w:rPr>
      </w:pPr>
      <w:r>
        <w:rPr>
          <w:spacing w:val="-1"/>
        </w:rPr>
        <w:t>-</w:t>
      </w:r>
      <w:r>
        <w:rPr>
          <w:b/>
          <w:spacing w:val="-1"/>
        </w:rPr>
        <w:t xml:space="preserve">Naknade građanima i kućanstvima </w:t>
      </w:r>
      <w:r>
        <w:rPr>
          <w:spacing w:val="-1"/>
        </w:rPr>
        <w:t>u iznosu od</w:t>
      </w:r>
      <w:r>
        <w:rPr>
          <w:spacing w:val="-1"/>
        </w:rPr>
        <w:tab/>
      </w:r>
      <w:r>
        <w:rPr>
          <w:rFonts w:hint="default"/>
          <w:spacing w:val="-1"/>
          <w:lang w:val="hr-HR"/>
        </w:rPr>
        <w:t>32</w:t>
      </w:r>
      <w:r>
        <w:rPr>
          <w:spacing w:val="-1"/>
        </w:rPr>
        <w:t>.</w:t>
      </w:r>
      <w:r>
        <w:rPr>
          <w:rFonts w:hint="default"/>
          <w:spacing w:val="-1"/>
          <w:lang w:val="hr-HR"/>
        </w:rPr>
        <w:t>859,99</w:t>
      </w:r>
      <w:r>
        <w:rPr>
          <w:spacing w:val="-1"/>
        </w:rPr>
        <w:t>€ ili 9</w:t>
      </w:r>
      <w:r>
        <w:rPr>
          <w:rFonts w:hint="default"/>
          <w:spacing w:val="-1"/>
          <w:lang w:val="hr-HR"/>
        </w:rPr>
        <w:t>8</w:t>
      </w:r>
      <w:r>
        <w:rPr>
          <w:spacing w:val="-1"/>
        </w:rPr>
        <w:t>,</w:t>
      </w:r>
      <w:r>
        <w:rPr>
          <w:rFonts w:hint="default"/>
          <w:spacing w:val="-1"/>
          <w:lang w:val="hr-HR"/>
        </w:rPr>
        <w:t>66</w:t>
      </w:r>
      <w:r>
        <w:rPr>
          <w:spacing w:val="-1"/>
        </w:rPr>
        <w:t>% odnose se na radne bilježnice i dodatne obrazovne materijale koje je Ministarstvo znanosti, obrazovanja i mladih osiguralo svim učenicima naše škole kao školi uključenoj u Eksperimentalni program „Osnovna škola kao cjelodnevna škola -Uravnotežen, pravedan, učinkovit i održiv sustav odgoja i obrazovanja“</w:t>
      </w:r>
    </w:p>
    <w:p w14:paraId="2C137174">
      <w:pPr>
        <w:pStyle w:val="6"/>
        <w:tabs>
          <w:tab w:val="left" w:pos="1553"/>
        </w:tabs>
        <w:kinsoku w:val="0"/>
        <w:overflowPunct w:val="0"/>
        <w:ind w:left="0" w:firstLine="0"/>
        <w:rPr>
          <w:spacing w:val="-1"/>
        </w:rPr>
      </w:pPr>
      <w:r>
        <w:rPr>
          <w:spacing w:val="-1"/>
        </w:rPr>
        <w:t>-</w:t>
      </w:r>
      <w:r>
        <w:rPr>
          <w:b/>
          <w:spacing w:val="-1"/>
        </w:rPr>
        <w:t>Ostali rashodi</w:t>
      </w:r>
      <w:r>
        <w:rPr>
          <w:spacing w:val="-1"/>
        </w:rPr>
        <w:t xml:space="preserve"> u iznosu od </w:t>
      </w:r>
      <w:r>
        <w:rPr>
          <w:rFonts w:hint="default"/>
          <w:spacing w:val="-1"/>
          <w:lang w:val="hr-HR"/>
        </w:rPr>
        <w:t>604,95</w:t>
      </w:r>
      <w:r>
        <w:rPr>
          <w:spacing w:val="-1"/>
        </w:rPr>
        <w:t>€ odnose se na tekuće donacije u naravi odnosno na nabavljene higijenske menstrualne potrepštine za učenice škole</w:t>
      </w:r>
      <w:r>
        <w:rPr>
          <w:spacing w:val="-1"/>
        </w:rPr>
        <w:tab/>
      </w:r>
      <w:r>
        <w:rPr>
          <w:spacing w:val="-1"/>
        </w:rPr>
        <w:tab/>
      </w:r>
      <w:r>
        <w:rPr>
          <w:spacing w:val="-1"/>
        </w:rPr>
        <w:tab/>
      </w:r>
      <w:r>
        <w:rPr>
          <w:spacing w:val="-1"/>
        </w:rPr>
        <w:tab/>
      </w:r>
      <w:r>
        <w:rPr>
          <w:spacing w:val="-1"/>
        </w:rPr>
        <w:tab/>
      </w:r>
      <w:r>
        <w:rPr>
          <w:spacing w:val="-1"/>
        </w:rPr>
        <w:tab/>
      </w:r>
      <w:r>
        <w:rPr>
          <w:spacing w:val="-1"/>
        </w:rPr>
        <w:tab/>
      </w:r>
      <w:r>
        <w:rPr>
          <w:spacing w:val="-1"/>
        </w:rPr>
        <w:tab/>
      </w:r>
    </w:p>
    <w:p w14:paraId="7E282A66">
      <w:pPr>
        <w:pStyle w:val="6"/>
        <w:tabs>
          <w:tab w:val="left" w:pos="1553"/>
        </w:tabs>
        <w:kinsoku w:val="0"/>
        <w:overflowPunct w:val="0"/>
        <w:ind w:left="0" w:firstLine="0"/>
        <w:rPr>
          <w:spacing w:val="-1"/>
        </w:rPr>
      </w:pPr>
      <w:r>
        <w:rPr>
          <w:spacing w:val="-1"/>
        </w:rPr>
        <w:t>-</w:t>
      </w:r>
      <w:r>
        <w:rPr>
          <w:b/>
          <w:spacing w:val="-1"/>
        </w:rPr>
        <w:t>Rashodi na nabavu proizvedene dugotrajne imovine</w:t>
      </w:r>
      <w:r>
        <w:rPr>
          <w:spacing w:val="-1"/>
        </w:rPr>
        <w:t xml:space="preserve"> u iznosu od 5</w:t>
      </w:r>
      <w:r>
        <w:rPr>
          <w:rFonts w:hint="default"/>
          <w:spacing w:val="-1"/>
          <w:lang w:val="hr-HR"/>
        </w:rPr>
        <w:t>9</w:t>
      </w:r>
      <w:r>
        <w:rPr>
          <w:spacing w:val="-1"/>
        </w:rPr>
        <w:t>.</w:t>
      </w:r>
      <w:r>
        <w:rPr>
          <w:rFonts w:hint="default"/>
          <w:spacing w:val="-1"/>
          <w:lang w:val="hr-HR"/>
        </w:rPr>
        <w:t>869,78</w:t>
      </w:r>
      <w:r>
        <w:rPr>
          <w:spacing w:val="-1"/>
        </w:rPr>
        <w:t xml:space="preserve">€ ili </w:t>
      </w:r>
      <w:r>
        <w:rPr>
          <w:rFonts w:hint="default"/>
          <w:spacing w:val="-1"/>
          <w:lang w:val="hr-HR"/>
        </w:rPr>
        <w:t>79,30</w:t>
      </w:r>
      <w:r>
        <w:rPr>
          <w:spacing w:val="-1"/>
        </w:rPr>
        <w:t>% planiranog odnose se na nabavu uredske opreme i namještaja, sportske i glazbene opreme, ostale opreme i knjiga uglavnom za rad B1 grupa u sklopu Cjelodnevne škole te na udžbenike koji su osigurani svim učenicima škole</w:t>
      </w:r>
    </w:p>
    <w:p w14:paraId="7E282A67">
      <w:pPr>
        <w:pStyle w:val="15"/>
        <w:widowControl/>
        <w:autoSpaceDE/>
        <w:adjustRightInd/>
        <w:jc w:val="both"/>
      </w:pPr>
    </w:p>
    <w:p w14:paraId="7E282A68">
      <w:pPr>
        <w:pStyle w:val="15"/>
        <w:widowControl/>
        <w:autoSpaceDE/>
        <w:adjustRightInd/>
        <w:jc w:val="both"/>
        <w:rPr>
          <w:b/>
          <w:bCs/>
        </w:rPr>
      </w:pPr>
      <w:r>
        <w:rPr>
          <w:b/>
          <w:bCs/>
        </w:rPr>
        <w:t>Prihodi i rashodi prema izvorima realizirani su kako slijedi:</w:t>
      </w:r>
    </w:p>
    <w:p w14:paraId="7E282A69">
      <w:pPr>
        <w:pStyle w:val="15"/>
        <w:widowControl/>
        <w:autoSpaceDE/>
        <w:adjustRightInd/>
        <w:jc w:val="both"/>
        <w:rPr>
          <w:bCs/>
        </w:rPr>
      </w:pPr>
      <w:r>
        <w:rPr>
          <w:b/>
          <w:bCs/>
        </w:rPr>
        <w:t xml:space="preserve">       -  </w:t>
      </w:r>
      <w:r>
        <w:rPr>
          <w:bCs/>
        </w:rPr>
        <w:t>Prihodi iz izvora Opći prihodi i primici planirani su u iznosu od 2.</w:t>
      </w:r>
      <w:r>
        <w:rPr>
          <w:rFonts w:hint="default"/>
          <w:bCs/>
          <w:lang w:val="hr-HR"/>
        </w:rPr>
        <w:t>472,00</w:t>
      </w:r>
      <w:r>
        <w:rPr>
          <w:bCs/>
        </w:rPr>
        <w:t>€ a realizirani u iznosu od 2.</w:t>
      </w:r>
      <w:r>
        <w:rPr>
          <w:rFonts w:hint="default"/>
          <w:bCs/>
          <w:lang w:val="hr-HR"/>
        </w:rPr>
        <w:t>472,00</w:t>
      </w:r>
      <w:r>
        <w:rPr>
          <w:bCs/>
        </w:rPr>
        <w:t xml:space="preserve"> ili 100% planiranog </w:t>
      </w:r>
    </w:p>
    <w:p w14:paraId="7E282A6A">
      <w:pPr>
        <w:pStyle w:val="15"/>
        <w:widowControl/>
        <w:autoSpaceDE/>
        <w:adjustRightInd/>
        <w:jc w:val="both"/>
      </w:pPr>
      <w:r>
        <w:rPr>
          <w:bCs/>
        </w:rPr>
        <w:t xml:space="preserve">       -  P</w:t>
      </w:r>
      <w:r>
        <w:t xml:space="preserve">rihodi iz izvora Decentraliziranih sredstava planirani su u iznosu </w:t>
      </w:r>
      <w:r>
        <w:rPr>
          <w:rFonts w:hint="default"/>
          <w:lang w:val="hr-HR"/>
        </w:rPr>
        <w:t>65</w:t>
      </w:r>
      <w:r>
        <w:t>.</w:t>
      </w:r>
      <w:r>
        <w:rPr>
          <w:rFonts w:hint="default"/>
          <w:lang w:val="hr-HR"/>
        </w:rPr>
        <w:t>937,00</w:t>
      </w:r>
      <w:r>
        <w:t xml:space="preserve">€ a realizirani u iznosu od </w:t>
      </w:r>
      <w:r>
        <w:rPr>
          <w:rFonts w:hint="default"/>
          <w:lang w:val="hr-HR"/>
        </w:rPr>
        <w:t>64</w:t>
      </w:r>
      <w:r>
        <w:t>.</w:t>
      </w:r>
      <w:r>
        <w:rPr>
          <w:rFonts w:hint="default"/>
          <w:lang w:val="hr-HR"/>
        </w:rPr>
        <w:t>585,50</w:t>
      </w:r>
      <w:r>
        <w:t>€ ili 9</w:t>
      </w:r>
      <w:r>
        <w:rPr>
          <w:rFonts w:hint="default"/>
          <w:lang w:val="hr-HR"/>
        </w:rPr>
        <w:t>7</w:t>
      </w:r>
      <w:r>
        <w:t>,</w:t>
      </w:r>
      <w:r>
        <w:rPr>
          <w:rFonts w:hint="default"/>
          <w:lang w:val="hr-HR"/>
        </w:rPr>
        <w:t>95</w:t>
      </w:r>
      <w:r>
        <w:t>% od planiranog;</w:t>
      </w:r>
    </w:p>
    <w:p w14:paraId="7E282A6B">
      <w:pPr>
        <w:widowControl/>
        <w:autoSpaceDE/>
        <w:adjustRightInd/>
        <w:ind w:left="360"/>
        <w:contextualSpacing/>
        <w:jc w:val="both"/>
      </w:pPr>
      <w:r>
        <w:t xml:space="preserve">  -  Prihodi iz izvora Vlastiti i namjenski prihodi proračunskih korisnika planirani su u iznosu 2.</w:t>
      </w:r>
      <w:r>
        <w:rPr>
          <w:rFonts w:hint="default"/>
          <w:lang w:val="hr-HR"/>
        </w:rPr>
        <w:t>421.486,49</w:t>
      </w:r>
      <w:r>
        <w:tab/>
      </w:r>
      <w:r>
        <w:t>€ a realizirani u iznosu</w:t>
      </w:r>
    </w:p>
    <w:p w14:paraId="7E282A6C">
      <w:pPr>
        <w:widowControl/>
        <w:autoSpaceDE/>
        <w:adjustRightInd/>
        <w:ind w:left="360"/>
        <w:contextualSpacing/>
        <w:jc w:val="both"/>
      </w:pPr>
      <w:r>
        <w:t xml:space="preserve">      od  2.0</w:t>
      </w:r>
      <w:r>
        <w:rPr>
          <w:rFonts w:hint="default"/>
          <w:lang w:val="hr-HR"/>
        </w:rPr>
        <w:t>9</w:t>
      </w:r>
      <w:r>
        <w:t>5.</w:t>
      </w:r>
      <w:r>
        <w:rPr>
          <w:rFonts w:hint="default"/>
          <w:lang w:val="hr-HR"/>
        </w:rPr>
        <w:t>905,92</w:t>
      </w:r>
      <w:r>
        <w:t xml:space="preserve">€ ili </w:t>
      </w:r>
      <w:r>
        <w:rPr>
          <w:rFonts w:hint="default"/>
          <w:lang w:val="hr-HR"/>
        </w:rPr>
        <w:t>86,55</w:t>
      </w:r>
      <w:r>
        <w:t xml:space="preserve">% od planiranog; </w:t>
      </w:r>
    </w:p>
    <w:p w14:paraId="7E282A6D">
      <w:pPr>
        <w:widowControl/>
        <w:autoSpaceDE/>
        <w:adjustRightInd/>
        <w:contextualSpacing/>
        <w:jc w:val="both"/>
      </w:pPr>
      <w:r>
        <w:t xml:space="preserve">        -Rashodi iz izvora Opći prihodi i primici planirani su u iznosu od 2.</w:t>
      </w:r>
      <w:r>
        <w:rPr>
          <w:rFonts w:hint="default"/>
          <w:lang w:val="hr-HR"/>
        </w:rPr>
        <w:t>472,00</w:t>
      </w:r>
      <w:r>
        <w:t>€ i utrošeni u iznosu od 2.</w:t>
      </w:r>
      <w:r>
        <w:rPr>
          <w:rFonts w:hint="default"/>
          <w:lang w:val="hr-HR"/>
        </w:rPr>
        <w:t>472,00</w:t>
      </w:r>
      <w:r>
        <w:t>€ ili 100% planiranog</w:t>
      </w:r>
    </w:p>
    <w:p w14:paraId="7E282A6E">
      <w:pPr>
        <w:widowControl/>
        <w:autoSpaceDE/>
        <w:adjustRightInd/>
        <w:contextualSpacing/>
      </w:pPr>
      <w:r>
        <w:t xml:space="preserve">        -Rashodi iz izvora Decentraliziranih sredstava planirani su u iznosu </w:t>
      </w:r>
      <w:r>
        <w:rPr>
          <w:rFonts w:hint="default"/>
          <w:lang w:val="hr-HR"/>
        </w:rPr>
        <w:t>65.937,00</w:t>
      </w:r>
      <w:r>
        <w:t xml:space="preserve">€ a realizirani u iznosu od </w:t>
      </w:r>
      <w:r>
        <w:rPr>
          <w:rFonts w:hint="default"/>
          <w:lang w:val="hr-HR"/>
        </w:rPr>
        <w:t>64.969,94</w:t>
      </w:r>
      <w:r>
        <w:t>€  ili 9</w:t>
      </w:r>
      <w:r>
        <w:rPr>
          <w:rFonts w:hint="default"/>
          <w:lang w:val="hr-HR"/>
        </w:rPr>
        <w:t>8</w:t>
      </w:r>
      <w:r>
        <w:t>,</w:t>
      </w:r>
      <w:r>
        <w:rPr>
          <w:rFonts w:hint="default"/>
          <w:lang w:val="hr-HR"/>
        </w:rPr>
        <w:t>53</w:t>
      </w:r>
      <w:r>
        <w:t>%</w:t>
      </w:r>
    </w:p>
    <w:p w14:paraId="7E282A6F">
      <w:pPr>
        <w:widowControl/>
        <w:autoSpaceDE/>
        <w:adjustRightInd/>
        <w:contextualSpacing/>
      </w:pPr>
      <w:r>
        <w:t xml:space="preserve">          od planiranog;</w:t>
      </w:r>
    </w:p>
    <w:p w14:paraId="7E282A70">
      <w:pPr>
        <w:widowControl/>
        <w:autoSpaceDE/>
        <w:adjustRightInd/>
        <w:contextualSpacing/>
        <w:jc w:val="both"/>
      </w:pPr>
      <w:r>
        <w:t xml:space="preserve">        -Rashodi iz izvora Vlastiti i namjenski prihodi proračunskih korisnika planirani su u iznosu 2.</w:t>
      </w:r>
      <w:r>
        <w:rPr>
          <w:rFonts w:hint="default"/>
          <w:lang w:val="hr-HR"/>
        </w:rPr>
        <w:t>502</w:t>
      </w:r>
      <w:r>
        <w:t>.0</w:t>
      </w:r>
      <w:r>
        <w:rPr>
          <w:rFonts w:hint="default"/>
          <w:lang w:val="hr-HR"/>
        </w:rPr>
        <w:t>00,00</w:t>
      </w:r>
      <w:r>
        <w:t>€ a realizirani u iznosu</w:t>
      </w:r>
    </w:p>
    <w:p w14:paraId="7E282A71">
      <w:pPr>
        <w:widowControl/>
        <w:autoSpaceDE/>
        <w:adjustRightInd/>
        <w:contextualSpacing/>
        <w:jc w:val="both"/>
      </w:pPr>
      <w:r>
        <w:t xml:space="preserve">         od 2.</w:t>
      </w:r>
      <w:r>
        <w:rPr>
          <w:rFonts w:hint="default"/>
          <w:lang w:val="hr-HR"/>
        </w:rPr>
        <w:t>352.006,26</w:t>
      </w:r>
      <w:r>
        <w:t>€ ili 9</w:t>
      </w:r>
      <w:r>
        <w:rPr>
          <w:rFonts w:hint="default"/>
          <w:lang w:val="hr-HR"/>
        </w:rPr>
        <w:t>4</w:t>
      </w:r>
      <w:r>
        <w:t>,</w:t>
      </w:r>
      <w:r>
        <w:rPr>
          <w:rFonts w:hint="default"/>
          <w:lang w:val="hr-HR"/>
        </w:rPr>
        <w:t>01</w:t>
      </w:r>
      <w:r>
        <w:t xml:space="preserve">% od planiranog. </w:t>
      </w:r>
    </w:p>
    <w:p w14:paraId="7E282A72">
      <w:pPr>
        <w:widowControl/>
        <w:autoSpaceDE/>
        <w:adjustRightInd/>
        <w:contextualSpacing/>
        <w:jc w:val="both"/>
      </w:pPr>
    </w:p>
    <w:p w14:paraId="466E223C">
      <w:pPr>
        <w:widowControl/>
        <w:autoSpaceDE/>
        <w:adjustRightInd/>
        <w:contextualSpacing/>
        <w:jc w:val="both"/>
      </w:pPr>
    </w:p>
    <w:p w14:paraId="2A8E0082">
      <w:pPr>
        <w:widowControl/>
        <w:autoSpaceDE/>
        <w:adjustRightInd/>
        <w:contextualSpacing/>
        <w:jc w:val="both"/>
      </w:pPr>
    </w:p>
    <w:p w14:paraId="7F3E1DA0">
      <w:pPr>
        <w:widowControl/>
        <w:autoSpaceDE/>
        <w:adjustRightInd/>
        <w:contextualSpacing/>
        <w:jc w:val="both"/>
      </w:pPr>
    </w:p>
    <w:p w14:paraId="58429CBF">
      <w:pPr>
        <w:widowControl/>
        <w:autoSpaceDE/>
        <w:adjustRightInd/>
        <w:contextualSpacing/>
        <w:jc w:val="both"/>
      </w:pPr>
    </w:p>
    <w:p w14:paraId="026367E8">
      <w:pPr>
        <w:widowControl/>
        <w:autoSpaceDE/>
        <w:adjustRightInd/>
        <w:contextualSpacing/>
        <w:jc w:val="both"/>
      </w:pPr>
    </w:p>
    <w:p w14:paraId="20B37A7A">
      <w:pPr>
        <w:widowControl/>
        <w:autoSpaceDE/>
        <w:adjustRightInd/>
        <w:contextualSpacing/>
        <w:jc w:val="both"/>
      </w:pPr>
    </w:p>
    <w:p w14:paraId="2A08C1DE">
      <w:pPr>
        <w:pStyle w:val="6"/>
        <w:tabs>
          <w:tab w:val="left" w:pos="2945"/>
        </w:tabs>
        <w:kinsoku w:val="0"/>
        <w:overflowPunct w:val="0"/>
        <w:ind w:left="0" w:right="116" w:firstLine="0"/>
        <w:rPr>
          <w:spacing w:val="-1"/>
        </w:rPr>
      </w:pPr>
    </w:p>
    <w:p w14:paraId="7E282A75">
      <w:pPr>
        <w:pStyle w:val="6"/>
        <w:tabs>
          <w:tab w:val="left" w:pos="2945"/>
        </w:tabs>
        <w:kinsoku w:val="0"/>
        <w:overflowPunct w:val="0"/>
        <w:ind w:left="0" w:right="116" w:firstLine="0"/>
      </w:pPr>
      <w:r>
        <w:rPr>
          <w:spacing w:val="-1"/>
        </w:rPr>
        <w:t xml:space="preserve">                             </w:t>
      </w:r>
      <w:r>
        <w:rPr>
          <w:spacing w:val="-1"/>
          <w:u w:val="single"/>
        </w:rPr>
        <w:t>Obrazloženje prenesenog viška/manjka iz prethodne godine i viška/manjka za prijenos u sljedeće razdoblje</w:t>
      </w:r>
    </w:p>
    <w:p w14:paraId="7E282A76">
      <w:pPr>
        <w:widowControl/>
        <w:autoSpaceDE/>
        <w:adjustRightInd/>
        <w:contextualSpacing/>
        <w:jc w:val="both"/>
      </w:pPr>
    </w:p>
    <w:p w14:paraId="7E282A77">
      <w:pPr>
        <w:widowControl/>
        <w:autoSpaceDE/>
        <w:adjustRightInd/>
        <w:contextualSpacing/>
        <w:jc w:val="both"/>
        <w:rPr>
          <w:rFonts w:eastAsia="Times New Roman"/>
          <w:lang w:eastAsia="ar-SA"/>
        </w:rPr>
      </w:pPr>
      <w:r>
        <w:rPr>
          <w:rFonts w:eastAsia="Times New Roman"/>
          <w:spacing w:val="-1"/>
        </w:rPr>
        <w:t>U razdoblju od 1.1. do 31.12.202</w:t>
      </w:r>
      <w:r>
        <w:rPr>
          <w:rFonts w:hint="default" w:eastAsia="Times New Roman"/>
          <w:spacing w:val="-1"/>
          <w:lang w:val="hr-HR"/>
        </w:rPr>
        <w:t>5</w:t>
      </w:r>
      <w:r>
        <w:rPr>
          <w:rFonts w:eastAsia="Times New Roman"/>
          <w:spacing w:val="-1"/>
        </w:rPr>
        <w:t xml:space="preserve">. Osnovna škola August Cesarec </w:t>
      </w:r>
      <w:r>
        <w:rPr>
          <w:rFonts w:eastAsia="Times New Roman"/>
        </w:rPr>
        <w:t>ostvarila je</w:t>
      </w:r>
      <w:r>
        <w:rPr>
          <w:rFonts w:eastAsia="Times New Roman"/>
          <w:spacing w:val="23"/>
        </w:rPr>
        <w:t xml:space="preserve"> </w:t>
      </w:r>
      <w:r>
        <w:rPr>
          <w:rFonts w:hint="default" w:eastAsia="Times New Roman"/>
          <w:spacing w:val="23"/>
          <w:lang w:val="hr-HR"/>
        </w:rPr>
        <w:t>manjak</w:t>
      </w:r>
      <w:r>
        <w:rPr>
          <w:rFonts w:eastAsia="Times New Roman"/>
          <w:lang w:eastAsia="ar-SA"/>
        </w:rPr>
        <w:t xml:space="preserve">prihoda i primitaka u iznosu od </w:t>
      </w:r>
      <w:r>
        <w:rPr>
          <w:rFonts w:hint="default" w:eastAsia="Times New Roman"/>
          <w:lang w:val="hr-HR" w:eastAsia="ar-SA"/>
        </w:rPr>
        <w:t>256.484,78</w:t>
      </w:r>
      <w:r>
        <w:rPr>
          <w:rFonts w:eastAsia="Times New Roman"/>
          <w:lang w:eastAsia="ar-SA"/>
        </w:rPr>
        <w:t xml:space="preserve">3€ </w:t>
      </w:r>
    </w:p>
    <w:p w14:paraId="7E282A78">
      <w:pPr>
        <w:pStyle w:val="6"/>
        <w:tabs>
          <w:tab w:val="left" w:pos="1553"/>
        </w:tabs>
        <w:kinsoku w:val="0"/>
        <w:overflowPunct w:val="0"/>
        <w:ind w:left="0" w:firstLine="0"/>
        <w:rPr>
          <w:rFonts w:hint="default"/>
          <w:spacing w:val="-1"/>
          <w:lang w:val="hr-HR"/>
        </w:rPr>
      </w:pPr>
      <w:r>
        <w:rPr>
          <w:spacing w:val="-1"/>
        </w:rPr>
        <w:t>Preneseni višak iz 202</w:t>
      </w:r>
      <w:r>
        <w:rPr>
          <w:rFonts w:hint="default"/>
          <w:spacing w:val="-1"/>
          <w:lang w:val="hr-HR"/>
        </w:rPr>
        <w:t>4</w:t>
      </w:r>
      <w:r>
        <w:rPr>
          <w:spacing w:val="-1"/>
        </w:rPr>
        <w:t xml:space="preserve">. iznosio je </w:t>
      </w:r>
      <w:r>
        <w:rPr>
          <w:rFonts w:hint="default"/>
          <w:spacing w:val="-1"/>
          <w:lang w:val="hr-HR"/>
        </w:rPr>
        <w:t>80.513,51</w:t>
      </w:r>
      <w:r>
        <w:rPr>
          <w:spacing w:val="-1"/>
        </w:rPr>
        <w:t>€ i najvećim dijelom se odnosio na sredstva Ministarstva znanosti, obrazovanja i mladih uplaćenih u 12.mjesecu 202</w:t>
      </w:r>
      <w:r>
        <w:rPr>
          <w:rFonts w:hint="default"/>
          <w:spacing w:val="-1"/>
          <w:lang w:val="hr-HR"/>
        </w:rPr>
        <w:t>4</w:t>
      </w:r>
      <w:r>
        <w:rPr>
          <w:spacing w:val="-1"/>
        </w:rPr>
        <w:t xml:space="preserve">.godine za rad B1 grupa u sklopu Cjelodnevne škole. Iz navedenih sredstava financirala se nabava materijala, didaktičke opreme, sredstava i pomagala za njihov rad. </w:t>
      </w:r>
      <w:r>
        <w:rPr>
          <w:rFonts w:hint="default"/>
          <w:spacing w:val="-1"/>
          <w:lang w:val="hr-HR"/>
        </w:rPr>
        <w:t xml:space="preserve">Manjak prihoda poslovanja nastao je kao metodološki manjak jer smo plaću za 12. mjesec knjižili u 2025. dok smo sredstva za njenu isplatu dobili u siječnju 2026. Isto tako i energenti i režijski troškovi za 12.mjesec su knjiženi u 2025. dok su sredstva za pokriće istih došla u siječnju 2026. </w:t>
      </w:r>
      <w:r>
        <w:rPr>
          <w:spacing w:val="-1"/>
        </w:rPr>
        <w:t xml:space="preserve">Ukupni </w:t>
      </w:r>
      <w:r>
        <w:rPr>
          <w:rFonts w:hint="default"/>
          <w:spacing w:val="-1"/>
          <w:lang w:val="hr-HR"/>
        </w:rPr>
        <w:t>manjak</w:t>
      </w:r>
      <w:r>
        <w:rPr>
          <w:spacing w:val="-1"/>
        </w:rPr>
        <w:t xml:space="preserve"> prihoda </w:t>
      </w:r>
      <w:r>
        <w:rPr>
          <w:rFonts w:hint="default"/>
          <w:spacing w:val="-1"/>
          <w:lang w:val="hr-HR"/>
        </w:rPr>
        <w:t xml:space="preserve">za pokriće u </w:t>
      </w:r>
      <w:r>
        <w:rPr>
          <w:spacing w:val="-1"/>
        </w:rPr>
        <w:t xml:space="preserve">narednom periodu tako iznosi </w:t>
      </w:r>
      <w:r>
        <w:rPr>
          <w:rFonts w:hint="default"/>
          <w:spacing w:val="-1"/>
          <w:lang w:val="hr-HR"/>
        </w:rPr>
        <w:t>175.971,27</w:t>
      </w:r>
      <w:r>
        <w:rPr>
          <w:spacing w:val="-1"/>
        </w:rPr>
        <w:t>€</w:t>
      </w:r>
      <w:r>
        <w:rPr>
          <w:rFonts w:hint="default"/>
          <w:spacing w:val="-1"/>
          <w:lang w:val="hr-HR"/>
        </w:rPr>
        <w:t xml:space="preserve"> te je isti pokriven u siječnju 2026. nakon primitka seredtava od Ministarstva znanosti orazovanja i mladih za plaću i prijevoz za 12.mjesec te nakon primitka sredstava za energente i režijske troškve od osnivača.</w:t>
      </w:r>
    </w:p>
    <w:p w14:paraId="7E282A79">
      <w:pPr>
        <w:kinsoku w:val="0"/>
        <w:overflowPunct w:val="0"/>
        <w:ind w:right="395"/>
        <w:jc w:val="both"/>
        <w:rPr>
          <w:rFonts w:eastAsia="Times New Roman"/>
          <w:spacing w:val="-1"/>
        </w:rPr>
      </w:pPr>
    </w:p>
    <w:tbl>
      <w:tblPr>
        <w:tblStyle w:val="9"/>
        <w:tblW w:w="13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2769"/>
        <w:gridCol w:w="2773"/>
        <w:gridCol w:w="2896"/>
        <w:gridCol w:w="2778"/>
      </w:tblGrid>
      <w:tr w14:paraId="7E28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67" w:type="dxa"/>
            <w:tcBorders>
              <w:top w:val="single" w:color="auto" w:sz="4" w:space="0"/>
              <w:left w:val="single" w:color="auto" w:sz="4" w:space="0"/>
              <w:bottom w:val="single" w:color="auto" w:sz="4" w:space="0"/>
              <w:right w:val="single" w:color="auto" w:sz="4" w:space="0"/>
            </w:tcBorders>
            <w:shd w:val="clear" w:color="auto" w:fill="FFC000"/>
          </w:tcPr>
          <w:p w14:paraId="7E282A7A">
            <w:pPr>
              <w:kinsoku w:val="0"/>
              <w:overflowPunct w:val="0"/>
              <w:spacing w:before="56"/>
              <w:rPr>
                <w:b/>
                <w:sz w:val="20"/>
                <w:szCs w:val="20"/>
              </w:rPr>
            </w:pPr>
            <w:r>
              <w:rPr>
                <w:b/>
                <w:sz w:val="20"/>
                <w:szCs w:val="20"/>
              </w:rPr>
              <w:t>Ukupni prihodi i primici 01.01. – 31.12.202</w:t>
            </w:r>
            <w:r>
              <w:rPr>
                <w:rFonts w:hint="default"/>
                <w:b/>
                <w:sz w:val="20"/>
                <w:szCs w:val="20"/>
                <w:lang w:val="hr-HR"/>
              </w:rPr>
              <w:t>5</w:t>
            </w:r>
          </w:p>
        </w:tc>
        <w:tc>
          <w:tcPr>
            <w:tcW w:w="2769" w:type="dxa"/>
            <w:tcBorders>
              <w:top w:val="single" w:color="auto" w:sz="4" w:space="0"/>
              <w:left w:val="single" w:color="auto" w:sz="4" w:space="0"/>
              <w:bottom w:val="single" w:color="auto" w:sz="4" w:space="0"/>
              <w:right w:val="single" w:color="auto" w:sz="4" w:space="0"/>
            </w:tcBorders>
            <w:shd w:val="clear" w:color="auto" w:fill="FFC000"/>
          </w:tcPr>
          <w:p w14:paraId="7E282A7B">
            <w:pPr>
              <w:kinsoku w:val="0"/>
              <w:overflowPunct w:val="0"/>
              <w:spacing w:before="56"/>
              <w:rPr>
                <w:b/>
                <w:sz w:val="20"/>
                <w:szCs w:val="20"/>
              </w:rPr>
            </w:pPr>
            <w:r>
              <w:rPr>
                <w:b/>
                <w:sz w:val="20"/>
                <w:szCs w:val="20"/>
              </w:rPr>
              <w:t>Ukupni rashodi i izdaci 01.01. – 31.12.202</w:t>
            </w:r>
            <w:r>
              <w:rPr>
                <w:rFonts w:hint="default"/>
                <w:b/>
                <w:sz w:val="20"/>
                <w:szCs w:val="20"/>
                <w:lang w:val="hr-HR"/>
              </w:rPr>
              <w:t>5</w:t>
            </w:r>
          </w:p>
        </w:tc>
        <w:tc>
          <w:tcPr>
            <w:tcW w:w="2773" w:type="dxa"/>
            <w:tcBorders>
              <w:top w:val="single" w:color="auto" w:sz="4" w:space="0"/>
              <w:left w:val="single" w:color="auto" w:sz="4" w:space="0"/>
              <w:bottom w:val="single" w:color="auto" w:sz="4" w:space="0"/>
              <w:right w:val="single" w:color="auto" w:sz="4" w:space="0"/>
            </w:tcBorders>
            <w:shd w:val="clear" w:color="auto" w:fill="FFC000"/>
          </w:tcPr>
          <w:p w14:paraId="7E282A7C">
            <w:pPr>
              <w:kinsoku w:val="0"/>
              <w:overflowPunct w:val="0"/>
              <w:spacing w:before="56"/>
              <w:rPr>
                <w:b/>
                <w:sz w:val="20"/>
                <w:szCs w:val="20"/>
              </w:rPr>
            </w:pPr>
            <w:r>
              <w:rPr>
                <w:b/>
                <w:sz w:val="20"/>
                <w:szCs w:val="20"/>
              </w:rPr>
              <w:t>Rezultat poslovanja 202</w:t>
            </w:r>
            <w:r>
              <w:rPr>
                <w:rFonts w:hint="default"/>
                <w:b/>
                <w:sz w:val="20"/>
                <w:szCs w:val="20"/>
                <w:lang w:val="hr-HR"/>
              </w:rPr>
              <w:t>5</w:t>
            </w:r>
            <w:r>
              <w:rPr>
                <w:b/>
                <w:sz w:val="20"/>
                <w:szCs w:val="20"/>
              </w:rPr>
              <w:t>.</w:t>
            </w:r>
          </w:p>
        </w:tc>
        <w:tc>
          <w:tcPr>
            <w:tcW w:w="2896" w:type="dxa"/>
            <w:tcBorders>
              <w:top w:val="single" w:color="auto" w:sz="4" w:space="0"/>
              <w:left w:val="single" w:color="auto" w:sz="4" w:space="0"/>
              <w:bottom w:val="single" w:color="auto" w:sz="4" w:space="0"/>
              <w:right w:val="single" w:color="auto" w:sz="4" w:space="0"/>
            </w:tcBorders>
            <w:shd w:val="clear" w:color="auto" w:fill="FFC000"/>
          </w:tcPr>
          <w:p w14:paraId="7E282A7D">
            <w:pPr>
              <w:kinsoku w:val="0"/>
              <w:overflowPunct w:val="0"/>
              <w:spacing w:before="56"/>
              <w:rPr>
                <w:b/>
                <w:sz w:val="20"/>
                <w:szCs w:val="20"/>
              </w:rPr>
            </w:pPr>
            <w:r>
              <w:rPr>
                <w:b/>
                <w:sz w:val="20"/>
                <w:szCs w:val="20"/>
              </w:rPr>
              <w:t>Preneseni višak/manjak</w:t>
            </w:r>
          </w:p>
        </w:tc>
        <w:tc>
          <w:tcPr>
            <w:tcW w:w="2778" w:type="dxa"/>
            <w:tcBorders>
              <w:top w:val="single" w:color="auto" w:sz="4" w:space="0"/>
              <w:left w:val="single" w:color="auto" w:sz="4" w:space="0"/>
              <w:bottom w:val="single" w:color="auto" w:sz="4" w:space="0"/>
              <w:right w:val="single" w:color="auto" w:sz="4" w:space="0"/>
            </w:tcBorders>
            <w:shd w:val="clear" w:color="auto" w:fill="FFC000"/>
          </w:tcPr>
          <w:p w14:paraId="7E282A7E">
            <w:pPr>
              <w:kinsoku w:val="0"/>
              <w:overflowPunct w:val="0"/>
              <w:spacing w:before="56"/>
              <w:rPr>
                <w:b/>
                <w:sz w:val="20"/>
                <w:szCs w:val="20"/>
              </w:rPr>
            </w:pPr>
            <w:r>
              <w:rPr>
                <w:b/>
                <w:sz w:val="20"/>
                <w:szCs w:val="20"/>
              </w:rPr>
              <w:t>Ukupan rezultat poslovanja 31.12.202</w:t>
            </w:r>
            <w:r>
              <w:rPr>
                <w:rFonts w:hint="default"/>
                <w:b/>
                <w:sz w:val="20"/>
                <w:szCs w:val="20"/>
                <w:lang w:val="hr-HR"/>
              </w:rPr>
              <w:t>5</w:t>
            </w:r>
            <w:r>
              <w:rPr>
                <w:b/>
                <w:sz w:val="20"/>
                <w:szCs w:val="20"/>
              </w:rPr>
              <w:t>.</w:t>
            </w:r>
          </w:p>
        </w:tc>
      </w:tr>
      <w:tr w14:paraId="7E282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2767" w:type="dxa"/>
            <w:tcBorders>
              <w:top w:val="single" w:color="auto" w:sz="4" w:space="0"/>
              <w:left w:val="single" w:color="auto" w:sz="4" w:space="0"/>
              <w:bottom w:val="single" w:color="auto" w:sz="4" w:space="0"/>
              <w:right w:val="single" w:color="auto" w:sz="4" w:space="0"/>
            </w:tcBorders>
          </w:tcPr>
          <w:p w14:paraId="7E282A80">
            <w:pPr>
              <w:kinsoku w:val="0"/>
              <w:overflowPunct w:val="0"/>
              <w:spacing w:before="56"/>
              <w:rPr>
                <w:sz w:val="20"/>
                <w:szCs w:val="20"/>
              </w:rPr>
            </w:pPr>
            <w:r>
              <w:rPr>
                <w:sz w:val="20"/>
                <w:szCs w:val="20"/>
              </w:rPr>
              <w:t>2.</w:t>
            </w:r>
            <w:r>
              <w:rPr>
                <w:rFonts w:hint="default"/>
                <w:sz w:val="20"/>
                <w:szCs w:val="20"/>
                <w:lang w:val="hr-HR"/>
              </w:rPr>
              <w:t>162.963,42</w:t>
            </w:r>
            <w:r>
              <w:rPr>
                <w:sz w:val="20"/>
                <w:szCs w:val="20"/>
              </w:rPr>
              <w:t>€</w:t>
            </w:r>
          </w:p>
        </w:tc>
        <w:tc>
          <w:tcPr>
            <w:tcW w:w="2769" w:type="dxa"/>
            <w:tcBorders>
              <w:top w:val="single" w:color="auto" w:sz="4" w:space="0"/>
              <w:left w:val="single" w:color="auto" w:sz="4" w:space="0"/>
              <w:bottom w:val="single" w:color="auto" w:sz="4" w:space="0"/>
              <w:right w:val="single" w:color="auto" w:sz="4" w:space="0"/>
            </w:tcBorders>
          </w:tcPr>
          <w:p w14:paraId="7E282A81">
            <w:pPr>
              <w:kinsoku w:val="0"/>
              <w:overflowPunct w:val="0"/>
              <w:spacing w:before="56"/>
              <w:rPr>
                <w:sz w:val="20"/>
                <w:szCs w:val="20"/>
              </w:rPr>
            </w:pPr>
            <w:r>
              <w:rPr>
                <w:sz w:val="20"/>
                <w:szCs w:val="20"/>
              </w:rPr>
              <w:t>2.</w:t>
            </w:r>
            <w:r>
              <w:rPr>
                <w:rFonts w:hint="default"/>
                <w:sz w:val="20"/>
                <w:szCs w:val="20"/>
                <w:lang w:val="hr-HR"/>
              </w:rPr>
              <w:t>419.448,20</w:t>
            </w:r>
            <w:r>
              <w:rPr>
                <w:sz w:val="20"/>
                <w:szCs w:val="20"/>
              </w:rPr>
              <w:t>€</w:t>
            </w:r>
          </w:p>
        </w:tc>
        <w:tc>
          <w:tcPr>
            <w:tcW w:w="2773" w:type="dxa"/>
            <w:tcBorders>
              <w:top w:val="single" w:color="auto" w:sz="4" w:space="0"/>
              <w:left w:val="single" w:color="auto" w:sz="4" w:space="0"/>
              <w:bottom w:val="single" w:color="auto" w:sz="4" w:space="0"/>
              <w:right w:val="single" w:color="auto" w:sz="4" w:space="0"/>
            </w:tcBorders>
          </w:tcPr>
          <w:p w14:paraId="7E282A82">
            <w:pPr>
              <w:kinsoku w:val="0"/>
              <w:overflowPunct w:val="0"/>
              <w:spacing w:before="56"/>
              <w:rPr>
                <w:sz w:val="20"/>
                <w:szCs w:val="20"/>
              </w:rPr>
            </w:pPr>
            <w:r>
              <w:rPr>
                <w:rFonts w:hint="default"/>
                <w:sz w:val="20"/>
                <w:szCs w:val="20"/>
                <w:lang w:val="hr-HR"/>
              </w:rPr>
              <w:t>-256.484,78</w:t>
            </w:r>
            <w:r>
              <w:rPr>
                <w:sz w:val="20"/>
                <w:szCs w:val="20"/>
              </w:rPr>
              <w:t>€</w:t>
            </w:r>
          </w:p>
        </w:tc>
        <w:tc>
          <w:tcPr>
            <w:tcW w:w="2896" w:type="dxa"/>
            <w:tcBorders>
              <w:top w:val="single" w:color="auto" w:sz="4" w:space="0"/>
              <w:left w:val="single" w:color="auto" w:sz="4" w:space="0"/>
              <w:bottom w:val="single" w:color="auto" w:sz="4" w:space="0"/>
              <w:right w:val="single" w:color="auto" w:sz="4" w:space="0"/>
            </w:tcBorders>
          </w:tcPr>
          <w:p w14:paraId="7E282A83">
            <w:pPr>
              <w:kinsoku w:val="0"/>
              <w:overflowPunct w:val="0"/>
              <w:spacing w:before="56"/>
              <w:rPr>
                <w:sz w:val="20"/>
                <w:szCs w:val="20"/>
              </w:rPr>
            </w:pPr>
            <w:r>
              <w:rPr>
                <w:rFonts w:hint="default"/>
                <w:sz w:val="20"/>
                <w:szCs w:val="20"/>
                <w:lang w:val="hr-HR"/>
              </w:rPr>
              <w:t>80</w:t>
            </w:r>
            <w:r>
              <w:rPr>
                <w:sz w:val="20"/>
                <w:szCs w:val="20"/>
              </w:rPr>
              <w:t>.</w:t>
            </w:r>
            <w:r>
              <w:rPr>
                <w:rFonts w:hint="default"/>
                <w:sz w:val="20"/>
                <w:szCs w:val="20"/>
                <w:lang w:val="hr-HR"/>
              </w:rPr>
              <w:t>513,51</w:t>
            </w:r>
            <w:r>
              <w:rPr>
                <w:sz w:val="20"/>
                <w:szCs w:val="20"/>
              </w:rPr>
              <w:t>€</w:t>
            </w:r>
          </w:p>
        </w:tc>
        <w:tc>
          <w:tcPr>
            <w:tcW w:w="2778" w:type="dxa"/>
            <w:tcBorders>
              <w:top w:val="single" w:color="auto" w:sz="4" w:space="0"/>
              <w:left w:val="single" w:color="auto" w:sz="4" w:space="0"/>
              <w:bottom w:val="single" w:color="auto" w:sz="4" w:space="0"/>
              <w:right w:val="single" w:color="auto" w:sz="4" w:space="0"/>
            </w:tcBorders>
          </w:tcPr>
          <w:p w14:paraId="7E282A84">
            <w:pPr>
              <w:kinsoku w:val="0"/>
              <w:overflowPunct w:val="0"/>
              <w:spacing w:before="56"/>
              <w:rPr>
                <w:sz w:val="20"/>
                <w:szCs w:val="20"/>
              </w:rPr>
            </w:pPr>
            <w:r>
              <w:rPr>
                <w:rFonts w:hint="default"/>
                <w:sz w:val="20"/>
                <w:szCs w:val="20"/>
                <w:lang w:val="hr-HR"/>
              </w:rPr>
              <w:t>-175.971,27</w:t>
            </w:r>
            <w:r>
              <w:rPr>
                <w:sz w:val="20"/>
                <w:szCs w:val="20"/>
              </w:rPr>
              <w:t>€</w:t>
            </w:r>
          </w:p>
        </w:tc>
      </w:tr>
    </w:tbl>
    <w:p w14:paraId="7E282A86">
      <w:pPr>
        <w:pStyle w:val="6"/>
        <w:tabs>
          <w:tab w:val="left" w:pos="1553"/>
        </w:tabs>
        <w:kinsoku w:val="0"/>
        <w:overflowPunct w:val="0"/>
        <w:ind w:left="0" w:firstLine="0"/>
        <w:rPr>
          <w:spacing w:val="-1"/>
        </w:rPr>
      </w:pPr>
    </w:p>
    <w:p w14:paraId="7E734160">
      <w:pPr>
        <w:pStyle w:val="6"/>
        <w:tabs>
          <w:tab w:val="left" w:pos="1553"/>
        </w:tabs>
        <w:kinsoku w:val="0"/>
        <w:overflowPunct w:val="0"/>
        <w:ind w:left="0" w:firstLine="0"/>
        <w:rPr>
          <w:spacing w:val="-1"/>
        </w:rPr>
      </w:pPr>
    </w:p>
    <w:p w14:paraId="43521548">
      <w:pPr>
        <w:pStyle w:val="6"/>
        <w:tabs>
          <w:tab w:val="left" w:pos="1553"/>
        </w:tabs>
        <w:kinsoku w:val="0"/>
        <w:overflowPunct w:val="0"/>
        <w:ind w:left="0" w:firstLine="0"/>
        <w:rPr>
          <w:spacing w:val="-1"/>
        </w:rPr>
      </w:pPr>
    </w:p>
    <w:p w14:paraId="2EF3C62C">
      <w:pPr>
        <w:pStyle w:val="6"/>
        <w:tabs>
          <w:tab w:val="left" w:pos="1553"/>
        </w:tabs>
        <w:kinsoku w:val="0"/>
        <w:overflowPunct w:val="0"/>
        <w:ind w:left="0" w:firstLine="0"/>
        <w:jc w:val="center"/>
        <w:rPr>
          <w:b/>
          <w:spacing w:val="-1"/>
        </w:rPr>
      </w:pPr>
      <w:r>
        <w:rPr>
          <w:b/>
          <w:spacing w:val="-1"/>
        </w:rPr>
        <w:t>Obrazloženje posebnog dijela Godišnjeg izvještaja o izvršenju financijskog plana za 202</w:t>
      </w:r>
      <w:r>
        <w:rPr>
          <w:rFonts w:hint="default"/>
          <w:b/>
          <w:spacing w:val="-1"/>
          <w:lang w:val="hr-HR"/>
        </w:rPr>
        <w:t>5</w:t>
      </w:r>
      <w:r>
        <w:rPr>
          <w:b/>
          <w:spacing w:val="-1"/>
        </w:rPr>
        <w:t>.godinu</w:t>
      </w:r>
    </w:p>
    <w:p w14:paraId="4594FCC6">
      <w:pPr>
        <w:pStyle w:val="6"/>
        <w:tabs>
          <w:tab w:val="left" w:pos="1553"/>
        </w:tabs>
        <w:kinsoku w:val="0"/>
        <w:overflowPunct w:val="0"/>
        <w:ind w:left="0" w:firstLine="0"/>
        <w:rPr>
          <w:b/>
          <w:spacing w:val="-1"/>
        </w:rPr>
      </w:pPr>
    </w:p>
    <w:p w14:paraId="5F5007B3">
      <w:pPr>
        <w:pStyle w:val="6"/>
        <w:tabs>
          <w:tab w:val="left" w:pos="1553"/>
        </w:tabs>
        <w:kinsoku w:val="0"/>
        <w:overflowPunct w:val="0"/>
        <w:ind w:left="0" w:firstLine="0"/>
        <w:rPr>
          <w:spacing w:val="-1"/>
        </w:rPr>
      </w:pPr>
      <w:r>
        <w:rPr>
          <w:spacing w:val="-1"/>
        </w:rPr>
        <w:t>Posebni dio izvještaja o izvršenju financijskog plana sadrži plan rashoda i izdataka raspoređenih u programe koji se sastoje od aktivnosti i projekata iskazanih po ekonomskoj klasifikaciji te izvorima financiranja</w:t>
      </w:r>
    </w:p>
    <w:p w14:paraId="6913C81A">
      <w:pPr>
        <w:pStyle w:val="6"/>
        <w:tabs>
          <w:tab w:val="left" w:pos="1553"/>
        </w:tabs>
        <w:kinsoku w:val="0"/>
        <w:overflowPunct w:val="0"/>
        <w:ind w:left="0" w:firstLine="0"/>
        <w:rPr>
          <w:spacing w:val="-1"/>
        </w:rPr>
      </w:pPr>
      <w:r>
        <w:rPr>
          <w:spacing w:val="-1"/>
        </w:rPr>
        <w:t xml:space="preserve">-iz decentraliziranih sredstava utrošeno je </w:t>
      </w:r>
      <w:r>
        <w:rPr>
          <w:rFonts w:hint="default"/>
          <w:spacing w:val="-1"/>
          <w:lang w:val="hr-HR"/>
        </w:rPr>
        <w:t>64</w:t>
      </w:r>
      <w:r>
        <w:rPr>
          <w:spacing w:val="-1"/>
        </w:rPr>
        <w:t>.</w:t>
      </w:r>
      <w:r>
        <w:rPr>
          <w:rFonts w:hint="default"/>
          <w:spacing w:val="-1"/>
          <w:lang w:val="hr-HR"/>
        </w:rPr>
        <w:t>969,94€</w:t>
      </w:r>
      <w:r>
        <w:rPr>
          <w:spacing w:val="-1"/>
        </w:rPr>
        <w:t xml:space="preserve"> ili 9</w:t>
      </w:r>
      <w:r>
        <w:rPr>
          <w:rFonts w:hint="default"/>
          <w:spacing w:val="-1"/>
          <w:lang w:val="hr-HR"/>
        </w:rPr>
        <w:t>8</w:t>
      </w:r>
      <w:r>
        <w:rPr>
          <w:spacing w:val="-1"/>
        </w:rPr>
        <w:t>,</w:t>
      </w:r>
      <w:r>
        <w:rPr>
          <w:rFonts w:hint="default"/>
          <w:spacing w:val="-1"/>
          <w:lang w:val="hr-HR"/>
        </w:rPr>
        <w:t>53</w:t>
      </w:r>
      <w:r>
        <w:rPr>
          <w:spacing w:val="-1"/>
        </w:rPr>
        <w:t>% planiranog  za troškove energenata, pedagoške dokumentacije, inspekcijske nalaze, zdravstvene preglede zaposlenika te troškove po opsegu programa (službena putovanja, stručna usavršavanja, nabavu uredskog materijala i sredstava za čišćenje, materijala za tekuće i investicijsko održavanje, sitnog inventara, usluga telefona pošte i prijevoza, usluge tekućeg održavanja, komunalne usluge, računalne i ostale usluge, premije osiguranja prijevoznih sredstava, pristojbe i naknade, ostale rashode poslovanja te zatezne kamate)</w:t>
      </w:r>
    </w:p>
    <w:p w14:paraId="339AF732">
      <w:pPr>
        <w:pStyle w:val="6"/>
        <w:tabs>
          <w:tab w:val="left" w:pos="1553"/>
        </w:tabs>
        <w:kinsoku w:val="0"/>
        <w:overflowPunct w:val="0"/>
        <w:ind w:left="0" w:firstLine="0"/>
        <w:rPr>
          <w:rFonts w:hint="default"/>
          <w:spacing w:val="-1"/>
          <w:lang w:val="hr-HR"/>
        </w:rPr>
      </w:pPr>
      <w:r>
        <w:rPr>
          <w:rFonts w:hint="default"/>
          <w:spacing w:val="-1"/>
          <w:lang w:val="hr-HR"/>
        </w:rPr>
        <w:t>-sufinanciranje nabave školskog materijala 1.653,00€ -nabava likovnih kutija za učenike nižih razreda 1.653,00€</w:t>
      </w:r>
    </w:p>
    <w:p w14:paraId="1E9CC078">
      <w:pPr>
        <w:pStyle w:val="6"/>
        <w:tabs>
          <w:tab w:val="left" w:pos="1553"/>
        </w:tabs>
        <w:kinsoku w:val="0"/>
        <w:overflowPunct w:val="0"/>
        <w:ind w:left="0" w:firstLine="0"/>
        <w:rPr>
          <w:rFonts w:hint="default"/>
          <w:spacing w:val="-1"/>
          <w:lang w:val="hr-HR"/>
        </w:rPr>
      </w:pPr>
      <w:r>
        <w:rPr>
          <w:spacing w:val="-1"/>
        </w:rPr>
        <w:t xml:space="preserve">-za natjecanja učenika osnovnih škola utrošeno je </w:t>
      </w:r>
      <w:r>
        <w:rPr>
          <w:rFonts w:hint="default"/>
          <w:spacing w:val="-1"/>
          <w:lang w:val="hr-HR"/>
        </w:rPr>
        <w:t>819,00</w:t>
      </w:r>
      <w:r>
        <w:rPr>
          <w:spacing w:val="-1"/>
        </w:rPr>
        <w:t>€ za nagrade članovima povjerenstava, sendvič i sok za sudionike natjecanja te prijevoz učenika na natjecanja</w:t>
      </w:r>
    </w:p>
    <w:p w14:paraId="7E398321">
      <w:pPr>
        <w:pStyle w:val="6"/>
        <w:tabs>
          <w:tab w:val="left" w:pos="1553"/>
        </w:tabs>
        <w:kinsoku w:val="0"/>
        <w:overflowPunct w:val="0"/>
        <w:ind w:left="0" w:firstLine="0"/>
        <w:rPr>
          <w:spacing w:val="-1"/>
        </w:rPr>
      </w:pPr>
      <w:r>
        <w:rPr>
          <w:spacing w:val="-1"/>
        </w:rPr>
        <w:t xml:space="preserve">-podizanje standarda iz vlastitih i namjenskih prihoda realiziran je u iznosu od </w:t>
      </w:r>
      <w:r>
        <w:rPr>
          <w:rFonts w:hint="default"/>
          <w:spacing w:val="-1"/>
          <w:lang w:val="hr-HR"/>
        </w:rPr>
        <w:t>2.106.320,98 ili 95,05</w:t>
      </w:r>
      <w:r>
        <w:rPr>
          <w:spacing w:val="-1"/>
        </w:rPr>
        <w:t xml:space="preserve">% a najvećim dijelom se odnosi na plaće, doprinose na plaće materijalna prava zaposlenika kao što su regres, božićnica, jubilarne nagrade, dar za djecu, prijevoz na posao te ostala prava po kolektivnom ugovoru, zatim na prehranu učenika i udžbenike za sve učenike škole financirane od Ministarstva znanosti, obrazovanja i mladih te materijalne rashode financirane iz najma školskog prostora </w:t>
      </w:r>
    </w:p>
    <w:p w14:paraId="1C0C3F6B">
      <w:pPr>
        <w:pStyle w:val="6"/>
        <w:tabs>
          <w:tab w:val="left" w:pos="1553"/>
        </w:tabs>
        <w:kinsoku w:val="0"/>
        <w:overflowPunct w:val="0"/>
        <w:ind w:left="0" w:firstLine="0"/>
        <w:rPr>
          <w:spacing w:val="-1"/>
        </w:rPr>
      </w:pPr>
      <w:r>
        <w:rPr>
          <w:spacing w:val="-1"/>
        </w:rPr>
        <w:t xml:space="preserve">-Projekt „In-In -integracija i inkluzija“ -kroz ovaj projekt osigurana su dva pomoćnika u nastavi koji pružaju pomoć u učenju učenicima s poteškoćama u razvoju. </w:t>
      </w:r>
    </w:p>
    <w:p w14:paraId="0E462071">
      <w:pPr>
        <w:pStyle w:val="6"/>
        <w:tabs>
          <w:tab w:val="left" w:pos="1553"/>
        </w:tabs>
        <w:kinsoku w:val="0"/>
        <w:overflowPunct w:val="0"/>
        <w:ind w:left="0" w:firstLine="0"/>
        <w:rPr>
          <w:spacing w:val="-1"/>
        </w:rPr>
      </w:pPr>
      <w:r>
        <w:rPr>
          <w:spacing w:val="-1"/>
        </w:rPr>
        <w:t>-Projekt „Školska shema“ -kroz ovaj projekt osigurali smo mlijeko i voće za sve učenike škole</w:t>
      </w:r>
    </w:p>
    <w:p w14:paraId="67515651">
      <w:pPr>
        <w:pStyle w:val="6"/>
        <w:tabs>
          <w:tab w:val="left" w:pos="1553"/>
        </w:tabs>
        <w:kinsoku w:val="0"/>
        <w:overflowPunct w:val="0"/>
        <w:ind w:left="0" w:firstLine="0"/>
        <w:rPr>
          <w:spacing w:val="-1"/>
        </w:rPr>
      </w:pPr>
      <w:r>
        <w:rPr>
          <w:spacing w:val="-1"/>
        </w:rPr>
        <w:t xml:space="preserve">-Projekt „Osnovna škola kao cjelodnevna škola“ -naša škola uključena je u eksperimentalni program Osnovna škola kao cjelodnevna škola - Uravnotežen, pravedan, učinkovit i održiv sustav odgoja i obrazovanja. U okviru navedenog projekta financirano je stručno usavršavanje zaposlenika, nabava didaktičkih sredstava, nastavnih pomagala, opreme i materijala za provedbu izvannastavnih B1 grupa te rashodi za odvijanje izvanškolskih B2 aktivnosti. Isto tako nabavljeni su udžbenici za nove predmete te radne bilježnice, likovne mape i dodatni obrazovni materijali za sve učenike škole. </w:t>
      </w:r>
    </w:p>
    <w:p w14:paraId="7E282A87">
      <w:pPr>
        <w:pStyle w:val="6"/>
        <w:tabs>
          <w:tab w:val="left" w:pos="1553"/>
        </w:tabs>
        <w:kinsoku w:val="0"/>
        <w:overflowPunct w:val="0"/>
        <w:ind w:left="0" w:firstLine="0"/>
        <w:rPr>
          <w:spacing w:val="-1"/>
        </w:rPr>
      </w:pPr>
    </w:p>
    <w:p w14:paraId="112FCB9D">
      <w:pPr>
        <w:pStyle w:val="6"/>
        <w:tabs>
          <w:tab w:val="left" w:pos="1553"/>
        </w:tabs>
        <w:kinsoku w:val="0"/>
        <w:overflowPunct w:val="0"/>
        <w:ind w:left="0" w:firstLine="0"/>
        <w:rPr>
          <w:spacing w:val="-1"/>
        </w:rPr>
      </w:pPr>
    </w:p>
    <w:p w14:paraId="5486B3CB">
      <w:pPr>
        <w:pStyle w:val="6"/>
        <w:tabs>
          <w:tab w:val="left" w:pos="1553"/>
        </w:tabs>
        <w:kinsoku w:val="0"/>
        <w:overflowPunct w:val="0"/>
        <w:ind w:left="0" w:firstLine="0"/>
        <w:rPr>
          <w:spacing w:val="-1"/>
        </w:rPr>
      </w:pPr>
    </w:p>
    <w:p w14:paraId="7E282A88">
      <w:pPr>
        <w:pStyle w:val="2"/>
        <w:tabs>
          <w:tab w:val="left" w:pos="3594"/>
        </w:tabs>
        <w:kinsoku w:val="0"/>
        <w:overflowPunct w:val="0"/>
        <w:ind w:right="3"/>
        <w:rPr>
          <w:spacing w:val="-1"/>
        </w:rPr>
      </w:pPr>
      <w:r>
        <w:rPr>
          <w:spacing w:val="-1"/>
        </w:rPr>
        <w:t xml:space="preserve">                                                          IV.POSEBNI</w:t>
      </w:r>
      <w:r>
        <w:t xml:space="preserve"> </w:t>
      </w:r>
      <w:r>
        <w:rPr>
          <w:spacing w:val="-1"/>
        </w:rPr>
        <w:t>IZVJEŠTAJI</w:t>
      </w:r>
    </w:p>
    <w:p w14:paraId="7E282A89"/>
    <w:p w14:paraId="7E282A8A">
      <w:pPr>
        <w:jc w:val="center"/>
      </w:pPr>
      <w:r>
        <w:t>Članak 5</w:t>
      </w:r>
    </w:p>
    <w:p w14:paraId="7E282A8B"/>
    <w:p w14:paraId="507C063B">
      <w:pPr>
        <w:pStyle w:val="6"/>
        <w:tabs>
          <w:tab w:val="left" w:pos="1553"/>
        </w:tabs>
        <w:kinsoku w:val="0"/>
        <w:overflowPunct w:val="0"/>
        <w:ind w:left="0" w:firstLine="0"/>
        <w:rPr>
          <w:spacing w:val="-1"/>
        </w:rPr>
      </w:pPr>
      <w:r>
        <w:rPr>
          <w:spacing w:val="-1"/>
        </w:rPr>
        <w:t>Posebne izvještaje u Godišnjem izvještaju o izvršenju financijskog plana čine:</w:t>
      </w:r>
    </w:p>
    <w:p w14:paraId="7054AB18">
      <w:pPr>
        <w:pStyle w:val="16"/>
        <w:shd w:val="clear" w:color="auto" w:fill="FFFFFF"/>
        <w:spacing w:before="0" w:beforeAutospacing="0" w:after="48" w:afterAutospacing="0"/>
        <w:ind w:firstLine="408"/>
        <w:textAlignment w:val="baseline"/>
        <w:rPr>
          <w:color w:val="231F20"/>
        </w:rPr>
      </w:pPr>
      <w:r>
        <w:rPr>
          <w:color w:val="231F20"/>
        </w:rPr>
        <w:t xml:space="preserve">– </w:t>
      </w:r>
      <w:r>
        <w:rPr>
          <w:b/>
          <w:color w:val="231F20"/>
        </w:rPr>
        <w:t>izvještaj o zaduživanju na domaćem i stranom tržištu novca i kapitala</w:t>
      </w:r>
      <w:r>
        <w:rPr>
          <w:color w:val="231F20"/>
        </w:rPr>
        <w:t>,</w:t>
      </w:r>
    </w:p>
    <w:p w14:paraId="42768075">
      <w:pPr>
        <w:pStyle w:val="16"/>
        <w:shd w:val="clear" w:color="auto" w:fill="FFFFFF"/>
        <w:spacing w:before="0" w:beforeAutospacing="0" w:after="48" w:afterAutospacing="0"/>
        <w:ind w:firstLine="408"/>
        <w:textAlignment w:val="baseline"/>
        <w:rPr>
          <w:spacing w:val="-1"/>
        </w:rPr>
      </w:pPr>
      <w:r>
        <w:rPr>
          <w:spacing w:val="-1"/>
        </w:rPr>
        <w:t>Osnovna škola August Cesarec nije se zaduživala na domaćem ili stranom tržištu novca i kapitala</w:t>
      </w:r>
    </w:p>
    <w:p w14:paraId="32549B31">
      <w:pPr>
        <w:pStyle w:val="16"/>
        <w:shd w:val="clear" w:color="auto" w:fill="FFFFFF"/>
        <w:spacing w:before="0" w:beforeAutospacing="0" w:after="48" w:afterAutospacing="0"/>
        <w:ind w:firstLine="408"/>
        <w:textAlignment w:val="baseline"/>
        <w:rPr>
          <w:color w:val="231F20"/>
        </w:rPr>
      </w:pPr>
    </w:p>
    <w:p w14:paraId="7B349BE5">
      <w:pPr>
        <w:pStyle w:val="16"/>
        <w:shd w:val="clear" w:color="auto" w:fill="FFFFFF"/>
        <w:spacing w:before="0" w:beforeAutospacing="0" w:after="48" w:afterAutospacing="0"/>
        <w:ind w:firstLine="408"/>
        <w:textAlignment w:val="baseline"/>
        <w:rPr>
          <w:b/>
          <w:color w:val="231F20"/>
        </w:rPr>
      </w:pPr>
      <w:r>
        <w:rPr>
          <w:color w:val="231F20"/>
        </w:rPr>
        <w:t xml:space="preserve">– </w:t>
      </w:r>
      <w:r>
        <w:rPr>
          <w:b/>
          <w:color w:val="231F20"/>
        </w:rPr>
        <w:t>izvještaj o korištenju sredstava fondova Europske unije,</w:t>
      </w:r>
    </w:p>
    <w:p w14:paraId="2E8240B9">
      <w:pPr>
        <w:pStyle w:val="16"/>
        <w:shd w:val="clear" w:color="auto" w:fill="FFFFFF"/>
        <w:spacing w:before="0" w:beforeAutospacing="0" w:after="48" w:afterAutospacing="0"/>
        <w:ind w:firstLine="408"/>
        <w:textAlignment w:val="baseline"/>
        <w:rPr>
          <w:color w:val="231F20"/>
        </w:rPr>
      </w:pPr>
      <w:r>
        <w:rPr>
          <w:color w:val="231F20"/>
        </w:rPr>
        <w:t>Škola je bila uključena u Projekt “Školska shema” te Projekt “In-in integracija i inkluzija” ali su oba projekta išla preko osnivača.</w:t>
      </w:r>
    </w:p>
    <w:p w14:paraId="3E2C0779">
      <w:pPr>
        <w:pStyle w:val="16"/>
        <w:shd w:val="clear" w:color="auto" w:fill="FFFFFF"/>
        <w:spacing w:before="0" w:beforeAutospacing="0" w:after="48" w:afterAutospacing="0"/>
        <w:ind w:firstLine="408"/>
        <w:textAlignment w:val="baseline"/>
        <w:rPr>
          <w:color w:val="231F20"/>
        </w:rPr>
      </w:pPr>
      <w:r>
        <w:rPr>
          <w:color w:val="231F20"/>
        </w:rPr>
        <w:t xml:space="preserve"> </w:t>
      </w:r>
    </w:p>
    <w:p w14:paraId="537DEA20">
      <w:pPr>
        <w:pStyle w:val="16"/>
        <w:shd w:val="clear" w:color="auto" w:fill="FFFFFF"/>
        <w:spacing w:before="0" w:beforeAutospacing="0" w:after="48" w:afterAutospacing="0"/>
        <w:ind w:firstLine="408"/>
        <w:textAlignment w:val="baseline"/>
        <w:rPr>
          <w:b/>
          <w:color w:val="231F20"/>
        </w:rPr>
      </w:pPr>
      <w:r>
        <w:rPr>
          <w:b/>
          <w:color w:val="231F20"/>
        </w:rPr>
        <w:t>– izvještaj o danim zajmovima i potraživanjima po danim zajmovima</w:t>
      </w:r>
    </w:p>
    <w:p w14:paraId="0476384B">
      <w:pPr>
        <w:pStyle w:val="16"/>
        <w:shd w:val="clear" w:color="auto" w:fill="FFFFFF"/>
        <w:spacing w:before="0" w:beforeAutospacing="0" w:after="48" w:afterAutospacing="0"/>
        <w:ind w:firstLine="408"/>
        <w:textAlignment w:val="baseline"/>
        <w:rPr>
          <w:color w:val="231F20"/>
        </w:rPr>
      </w:pPr>
      <w:r>
        <w:rPr>
          <w:color w:val="231F20"/>
        </w:rPr>
        <w:t>Osnovna škola August Cesarec nema danih zajmova niti potraživanja po danim zajmovima</w:t>
      </w:r>
    </w:p>
    <w:p w14:paraId="04BA640F">
      <w:pPr>
        <w:pStyle w:val="16"/>
        <w:shd w:val="clear" w:color="auto" w:fill="FFFFFF"/>
        <w:spacing w:before="0" w:beforeAutospacing="0" w:after="48" w:afterAutospacing="0"/>
        <w:ind w:firstLine="408"/>
        <w:textAlignment w:val="baseline"/>
        <w:rPr>
          <w:color w:val="231F20"/>
        </w:rPr>
      </w:pPr>
    </w:p>
    <w:p w14:paraId="383A5E02">
      <w:pPr>
        <w:pStyle w:val="16"/>
        <w:shd w:val="clear" w:color="auto" w:fill="FFFFFF"/>
        <w:spacing w:before="0" w:beforeAutospacing="0" w:after="48" w:afterAutospacing="0"/>
        <w:ind w:firstLine="408"/>
        <w:textAlignment w:val="baseline"/>
        <w:rPr>
          <w:color w:val="231F20"/>
        </w:rPr>
      </w:pPr>
      <w:r>
        <w:rPr>
          <w:color w:val="231F20"/>
        </w:rPr>
        <w:t xml:space="preserve">– </w:t>
      </w:r>
      <w:r>
        <w:rPr>
          <w:b/>
          <w:color w:val="231F20"/>
        </w:rPr>
        <w:t>izvještaj o stanju potraživanja i dospjelih obveza te o stanju potencijalnih obveza po osnovi sudskih sporova</w:t>
      </w:r>
    </w:p>
    <w:p w14:paraId="74DB1C4A">
      <w:pPr>
        <w:pStyle w:val="16"/>
        <w:shd w:val="clear" w:color="auto" w:fill="FFFFFF"/>
        <w:spacing w:before="0" w:beforeAutospacing="0" w:after="48" w:afterAutospacing="0"/>
        <w:ind w:firstLine="408"/>
        <w:textAlignment w:val="baseline"/>
        <w:rPr>
          <w:color w:val="231F20"/>
        </w:rPr>
      </w:pPr>
      <w:r>
        <w:rPr>
          <w:color w:val="231F20"/>
        </w:rPr>
        <w:t>Na dan 31.12.202</w:t>
      </w:r>
      <w:r>
        <w:rPr>
          <w:rFonts w:hint="default"/>
          <w:color w:val="231F20"/>
          <w:lang w:val="hr-HR"/>
        </w:rPr>
        <w:t>5</w:t>
      </w:r>
      <w:r>
        <w:rPr>
          <w:color w:val="231F20"/>
        </w:rPr>
        <w:t xml:space="preserve">. škola ima </w:t>
      </w:r>
      <w:r>
        <w:rPr>
          <w:rFonts w:hint="default"/>
          <w:color w:val="231F20"/>
          <w:lang w:val="hr-HR"/>
        </w:rPr>
        <w:t xml:space="preserve">sljedeća </w:t>
      </w:r>
      <w:r>
        <w:rPr>
          <w:color w:val="231F20"/>
        </w:rPr>
        <w:t xml:space="preserve">potraživanja </w:t>
      </w:r>
    </w:p>
    <w:p w14:paraId="77273A54">
      <w:pPr>
        <w:pStyle w:val="16"/>
        <w:shd w:val="clear" w:color="auto" w:fill="FFFFFF"/>
        <w:spacing w:before="0" w:beforeAutospacing="0" w:after="48" w:afterAutospacing="0"/>
        <w:ind w:firstLine="408"/>
        <w:textAlignment w:val="baseline"/>
        <w:rPr>
          <w:rFonts w:hint="default"/>
          <w:color w:val="231F20"/>
          <w:lang w:val="hr-HR"/>
        </w:rPr>
      </w:pPr>
      <w:r>
        <w:rPr>
          <w:rFonts w:hint="default"/>
          <w:color w:val="231F20"/>
          <w:lang w:val="hr-HR"/>
        </w:rPr>
        <w:t>-potraživanja za naknade koje se refundiraju (HZZO) - 1.074,16€</w:t>
      </w:r>
    </w:p>
    <w:p w14:paraId="7CD55EB6">
      <w:pPr>
        <w:pStyle w:val="16"/>
        <w:shd w:val="clear" w:color="auto" w:fill="FFFFFF"/>
        <w:spacing w:before="0" w:beforeAutospacing="0" w:after="48" w:afterAutospacing="0"/>
        <w:ind w:firstLine="408"/>
        <w:textAlignment w:val="baseline"/>
        <w:rPr>
          <w:rFonts w:hint="default"/>
          <w:color w:val="231F20"/>
          <w:lang w:val="hr-HR"/>
        </w:rPr>
      </w:pPr>
      <w:r>
        <w:rPr>
          <w:rFonts w:hint="default"/>
          <w:color w:val="231F20"/>
          <w:lang w:val="hr-HR"/>
        </w:rPr>
        <w:t>-potraživanja iz proračuna koji nam nije nadležan (Ministarstvo znanosti, obrazovanja i mladih) u iznosu od 182.248,21€</w:t>
      </w:r>
    </w:p>
    <w:p w14:paraId="0D9744CA">
      <w:pPr>
        <w:pStyle w:val="16"/>
        <w:shd w:val="clear" w:color="auto" w:fill="FFFFFF"/>
        <w:spacing w:before="0" w:beforeAutospacing="0" w:after="48" w:afterAutospacing="0"/>
        <w:ind w:firstLine="408"/>
        <w:textAlignment w:val="baseline"/>
        <w:rPr>
          <w:rFonts w:hint="default"/>
          <w:color w:val="231F20"/>
          <w:lang w:val="hr-HR"/>
        </w:rPr>
      </w:pPr>
      <w:r>
        <w:rPr>
          <w:rFonts w:hint="default"/>
          <w:color w:val="231F20"/>
          <w:lang w:val="hr-HR"/>
        </w:rPr>
        <w:t>-potraživanja za pomoći temeljem prijenosa EU sredstava u iznosu od 3.324,59€</w:t>
      </w:r>
    </w:p>
    <w:p w14:paraId="4F643AE5">
      <w:pPr>
        <w:pStyle w:val="16"/>
        <w:shd w:val="clear" w:color="auto" w:fill="FFFFFF"/>
        <w:spacing w:before="0" w:beforeAutospacing="0" w:after="48" w:afterAutospacing="0"/>
        <w:ind w:firstLine="408"/>
        <w:textAlignment w:val="baseline"/>
        <w:rPr>
          <w:color w:val="231F20"/>
        </w:rPr>
      </w:pPr>
      <w:r>
        <w:rPr>
          <w:rFonts w:hint="default"/>
          <w:color w:val="231F20"/>
          <w:lang w:val="hr-HR"/>
        </w:rPr>
        <w:t xml:space="preserve">-potraživanja </w:t>
      </w:r>
      <w:r>
        <w:rPr>
          <w:color w:val="231F20"/>
        </w:rPr>
        <w:t xml:space="preserve">za najam školske sportske dvorane u iznosu od </w:t>
      </w:r>
      <w:r>
        <w:rPr>
          <w:rFonts w:hint="default"/>
          <w:color w:val="231F20"/>
          <w:lang w:val="hr-HR"/>
        </w:rPr>
        <w:t>945,73</w:t>
      </w:r>
      <w:r>
        <w:rPr>
          <w:color w:val="231F20"/>
        </w:rPr>
        <w:t>€</w:t>
      </w:r>
    </w:p>
    <w:p w14:paraId="669B64D4">
      <w:pPr>
        <w:pStyle w:val="16"/>
        <w:shd w:val="clear" w:color="auto" w:fill="FFFFFF"/>
        <w:spacing w:before="0" w:beforeAutospacing="0" w:after="48" w:afterAutospacing="0"/>
        <w:ind w:firstLine="408"/>
        <w:textAlignment w:val="baseline"/>
        <w:rPr>
          <w:color w:val="231F20"/>
        </w:rPr>
      </w:pPr>
      <w:r>
        <w:rPr>
          <w:rFonts w:hint="default"/>
          <w:color w:val="231F20"/>
          <w:lang w:val="hr-HR"/>
        </w:rPr>
        <w:t>-</w:t>
      </w:r>
      <w:r>
        <w:rPr>
          <w:color w:val="231F20"/>
        </w:rPr>
        <w:t xml:space="preserve">potraživanja za prihode proračunskog korisnika uplaćene u nadležni proračun u iznosu od </w:t>
      </w:r>
      <w:r>
        <w:rPr>
          <w:rFonts w:hint="default"/>
          <w:color w:val="231F20"/>
          <w:lang w:val="hr-HR"/>
        </w:rPr>
        <w:t>10.981,95</w:t>
      </w:r>
      <w:r>
        <w:rPr>
          <w:color w:val="231F20"/>
        </w:rPr>
        <w:t>€ (jer poslujemo preko jedinstvenog računa Virovitičko-podravske županije)</w:t>
      </w:r>
    </w:p>
    <w:p w14:paraId="4D16856C">
      <w:pPr>
        <w:pStyle w:val="16"/>
        <w:shd w:val="clear" w:color="auto" w:fill="FFFFFF"/>
        <w:spacing w:before="0" w:beforeAutospacing="0" w:after="48" w:afterAutospacing="0"/>
        <w:ind w:firstLine="408"/>
        <w:textAlignment w:val="baseline"/>
        <w:rPr>
          <w:rFonts w:hint="default"/>
          <w:color w:val="231F20"/>
          <w:lang w:val="hr-HR"/>
        </w:rPr>
      </w:pPr>
    </w:p>
    <w:p w14:paraId="54F9FB90">
      <w:pPr>
        <w:pStyle w:val="16"/>
        <w:shd w:val="clear" w:color="auto" w:fill="FFFFFF"/>
        <w:spacing w:before="0" w:beforeAutospacing="0" w:after="48" w:afterAutospacing="0"/>
        <w:ind w:firstLine="408"/>
        <w:textAlignment w:val="baseline"/>
        <w:rPr>
          <w:rFonts w:hint="default"/>
          <w:color w:val="231F20"/>
          <w:lang w:val="hr-HR"/>
        </w:rPr>
      </w:pPr>
      <w:r>
        <w:rPr>
          <w:rFonts w:hint="default"/>
          <w:color w:val="231F20"/>
          <w:lang w:val="hr-HR"/>
        </w:rPr>
        <w:t>Na dan 31.12.2025. d</w:t>
      </w:r>
      <w:r>
        <w:rPr>
          <w:color w:val="231F20"/>
        </w:rPr>
        <w:t xml:space="preserve">ospjelih nepodmirenih obveza </w:t>
      </w:r>
      <w:r>
        <w:rPr>
          <w:rFonts w:hint="default"/>
          <w:color w:val="231F20"/>
          <w:lang w:val="hr-HR"/>
        </w:rPr>
        <w:t>imali smo 3.294,24€. Iste su podmirene u siječnju 2026.</w:t>
      </w:r>
      <w:bookmarkStart w:id="2" w:name="_GoBack"/>
      <w:bookmarkEnd w:id="2"/>
    </w:p>
    <w:p w14:paraId="2E96065E">
      <w:pPr>
        <w:pStyle w:val="16"/>
        <w:shd w:val="clear" w:color="auto" w:fill="FFFFFF"/>
        <w:spacing w:before="0" w:beforeAutospacing="0" w:after="48" w:afterAutospacing="0"/>
        <w:ind w:firstLine="408"/>
        <w:textAlignment w:val="baseline"/>
        <w:rPr>
          <w:rFonts w:hint="default"/>
          <w:color w:val="231F20"/>
          <w:lang w:val="hr-HR"/>
        </w:rPr>
      </w:pPr>
      <w:r>
        <w:rPr>
          <w:rFonts w:hint="default"/>
          <w:color w:val="231F20"/>
          <w:lang w:val="hr-HR"/>
        </w:rPr>
        <w:t>P</w:t>
      </w:r>
      <w:r>
        <w:rPr>
          <w:color w:val="231F20"/>
        </w:rPr>
        <w:t>otencijalnih obveza po osnovi sudskih sporova</w:t>
      </w:r>
      <w:r>
        <w:rPr>
          <w:rFonts w:hint="default"/>
          <w:color w:val="231F20"/>
          <w:lang w:val="hr-HR"/>
        </w:rPr>
        <w:t xml:space="preserve"> nemamo.</w:t>
      </w:r>
    </w:p>
    <w:p w14:paraId="7E282A8D">
      <w:pPr>
        <w:pStyle w:val="6"/>
        <w:tabs>
          <w:tab w:val="left" w:pos="1553"/>
        </w:tabs>
        <w:kinsoku w:val="0"/>
        <w:overflowPunct w:val="0"/>
        <w:ind w:left="0" w:firstLine="0"/>
        <w:rPr>
          <w:spacing w:val="-1"/>
        </w:rPr>
      </w:pPr>
    </w:p>
    <w:p w14:paraId="7E282A8E">
      <w:pPr>
        <w:pStyle w:val="6"/>
        <w:tabs>
          <w:tab w:val="left" w:pos="1553"/>
        </w:tabs>
        <w:kinsoku w:val="0"/>
        <w:overflowPunct w:val="0"/>
        <w:ind w:left="0" w:firstLine="0"/>
        <w:rPr>
          <w:spacing w:val="-1"/>
        </w:rPr>
      </w:pPr>
    </w:p>
    <w:p w14:paraId="7E282A8F">
      <w:pPr>
        <w:pStyle w:val="6"/>
        <w:tabs>
          <w:tab w:val="left" w:pos="1553"/>
        </w:tabs>
        <w:kinsoku w:val="0"/>
        <w:overflowPunct w:val="0"/>
        <w:ind w:left="0" w:firstLine="0"/>
        <w:rPr>
          <w:spacing w:val="-1"/>
        </w:rPr>
      </w:pPr>
    </w:p>
    <w:p w14:paraId="7E282A90">
      <w:pPr>
        <w:pStyle w:val="2"/>
        <w:tabs>
          <w:tab w:val="left" w:pos="3601"/>
        </w:tabs>
        <w:kinsoku w:val="0"/>
        <w:overflowPunct w:val="0"/>
        <w:spacing w:before="56"/>
        <w:ind w:right="1"/>
        <w:rPr>
          <w:b w:val="0"/>
          <w:bCs w:val="0"/>
        </w:rPr>
      </w:pPr>
      <w:r>
        <w:rPr>
          <w:spacing w:val="-1"/>
        </w:rPr>
        <w:t xml:space="preserve">                                                     V.ZAVRŠNE</w:t>
      </w:r>
      <w:r>
        <w:t xml:space="preserve"> </w:t>
      </w:r>
      <w:r>
        <w:rPr>
          <w:spacing w:val="-1"/>
        </w:rPr>
        <w:t>ODREDBE</w:t>
      </w:r>
    </w:p>
    <w:p w14:paraId="7E282A91">
      <w:pPr>
        <w:pStyle w:val="6"/>
        <w:tabs>
          <w:tab w:val="left" w:pos="1553"/>
        </w:tabs>
        <w:kinsoku w:val="0"/>
        <w:overflowPunct w:val="0"/>
        <w:ind w:left="0" w:firstLine="0"/>
        <w:rPr>
          <w:spacing w:val="-1"/>
        </w:rPr>
      </w:pPr>
    </w:p>
    <w:p w14:paraId="7E282A92">
      <w:pPr>
        <w:pStyle w:val="6"/>
        <w:kinsoku w:val="0"/>
        <w:overflowPunct w:val="0"/>
        <w:ind w:left="2147" w:right="2147" w:firstLine="0"/>
        <w:jc w:val="center"/>
      </w:pPr>
      <w:r>
        <w:rPr>
          <w:b/>
          <w:bCs/>
          <w:spacing w:val="-1"/>
        </w:rPr>
        <w:t>Članak</w:t>
      </w:r>
      <w:r>
        <w:rPr>
          <w:b/>
          <w:bCs/>
        </w:rPr>
        <w:t xml:space="preserve"> 6.</w:t>
      </w:r>
    </w:p>
    <w:p w14:paraId="7E282A93">
      <w:pPr>
        <w:pStyle w:val="6"/>
        <w:kinsoku w:val="0"/>
        <w:overflowPunct w:val="0"/>
        <w:ind w:left="0" w:firstLine="0"/>
        <w:rPr>
          <w:b/>
          <w:bCs/>
        </w:rPr>
      </w:pPr>
    </w:p>
    <w:p w14:paraId="7E282A94">
      <w:pPr>
        <w:pStyle w:val="6"/>
        <w:kinsoku w:val="0"/>
        <w:overflowPunct w:val="0"/>
        <w:ind w:left="115" w:right="117" w:firstLine="0"/>
        <w:jc w:val="both"/>
        <w:rPr>
          <w:spacing w:val="-1"/>
        </w:rPr>
      </w:pPr>
      <w:r>
        <w:rPr>
          <w:spacing w:val="-1"/>
        </w:rPr>
        <w:t>Godišnji</w:t>
      </w:r>
      <w:r>
        <w:rPr>
          <w:spacing w:val="58"/>
        </w:rPr>
        <w:t xml:space="preserve"> </w:t>
      </w:r>
      <w:r>
        <w:rPr>
          <w:spacing w:val="-1"/>
        </w:rPr>
        <w:t>izvještaj</w:t>
      </w:r>
      <w:r>
        <w:rPr>
          <w:spacing w:val="58"/>
        </w:rPr>
        <w:t xml:space="preserve"> </w:t>
      </w:r>
      <w:r>
        <w:t>o</w:t>
      </w:r>
      <w:r>
        <w:rPr>
          <w:spacing w:val="57"/>
        </w:rPr>
        <w:t xml:space="preserve"> </w:t>
      </w:r>
      <w:r>
        <w:rPr>
          <w:spacing w:val="-1"/>
        </w:rPr>
        <w:t>izvršenju financijskog plana za 202</w:t>
      </w:r>
      <w:r>
        <w:rPr>
          <w:rFonts w:hint="default"/>
          <w:spacing w:val="-1"/>
          <w:lang w:val="hr-HR"/>
        </w:rPr>
        <w:t>5</w:t>
      </w:r>
      <w:r>
        <w:rPr>
          <w:spacing w:val="-1"/>
        </w:rPr>
        <w:t xml:space="preserve">. objavit će se na internetskoj  stranici Škole. </w:t>
      </w:r>
    </w:p>
    <w:p w14:paraId="7E282A95">
      <w:pPr>
        <w:pStyle w:val="6"/>
        <w:kinsoku w:val="0"/>
        <w:overflowPunct w:val="0"/>
        <w:ind w:left="115" w:right="117" w:firstLine="0"/>
        <w:jc w:val="both"/>
        <w:rPr>
          <w:spacing w:val="-1"/>
        </w:rPr>
      </w:pPr>
    </w:p>
    <w:p w14:paraId="7E282A96">
      <w:pPr>
        <w:pStyle w:val="6"/>
        <w:kinsoku w:val="0"/>
        <w:overflowPunct w:val="0"/>
        <w:ind w:left="115" w:right="117" w:firstLine="0"/>
        <w:jc w:val="both"/>
        <w:rPr>
          <w:spacing w:val="57"/>
        </w:rPr>
      </w:pPr>
      <w:r>
        <w:rPr>
          <w:spacing w:val="57"/>
        </w:rPr>
        <w:t xml:space="preserve"> </w:t>
      </w:r>
    </w:p>
    <w:p w14:paraId="7E282A97">
      <w:pPr>
        <w:pStyle w:val="6"/>
        <w:kinsoku w:val="0"/>
        <w:overflowPunct w:val="0"/>
        <w:ind w:left="115" w:right="117" w:firstLine="0"/>
        <w:jc w:val="both"/>
        <w:rPr>
          <w:spacing w:val="-1"/>
        </w:rPr>
      </w:pPr>
    </w:p>
    <w:p w14:paraId="7E282A98">
      <w:pPr>
        <w:pStyle w:val="2"/>
        <w:kinsoku w:val="0"/>
        <w:overflowPunct w:val="0"/>
        <w:ind w:left="115" w:right="5531"/>
        <w:rPr>
          <w:spacing w:val="-1"/>
        </w:rPr>
      </w:pPr>
      <w:r>
        <w:rPr>
          <w:spacing w:val="-1"/>
        </w:rPr>
        <w:t>KLASA: 400-01/2</w:t>
      </w:r>
      <w:r>
        <w:rPr>
          <w:rFonts w:hint="default"/>
          <w:spacing w:val="-1"/>
          <w:lang w:val="hr-HR"/>
        </w:rPr>
        <w:t>6</w:t>
      </w:r>
      <w:r>
        <w:rPr>
          <w:spacing w:val="-1"/>
        </w:rPr>
        <w:t>-01/</w:t>
      </w:r>
    </w:p>
    <w:p w14:paraId="7E282A99">
      <w:pPr>
        <w:pStyle w:val="2"/>
        <w:kinsoku w:val="0"/>
        <w:overflowPunct w:val="0"/>
        <w:ind w:left="115" w:right="5531"/>
        <w:rPr>
          <w:b w:val="0"/>
          <w:bCs w:val="0"/>
        </w:rPr>
      </w:pPr>
      <w:r>
        <w:rPr>
          <w:spacing w:val="-1"/>
        </w:rPr>
        <w:t>URBROJ: 2189-19-01-2</w:t>
      </w:r>
      <w:r>
        <w:rPr>
          <w:rFonts w:hint="default"/>
          <w:spacing w:val="-1"/>
          <w:lang w:val="hr-HR"/>
        </w:rPr>
        <w:t>6</w:t>
      </w:r>
      <w:r>
        <w:rPr>
          <w:spacing w:val="-1"/>
        </w:rPr>
        <w:t>-1</w:t>
      </w:r>
    </w:p>
    <w:p w14:paraId="7E282A9A">
      <w:pPr>
        <w:pStyle w:val="6"/>
        <w:kinsoku w:val="0"/>
        <w:overflowPunct w:val="0"/>
        <w:ind w:left="115" w:firstLine="0"/>
        <w:jc w:val="both"/>
      </w:pPr>
      <w:r>
        <w:rPr>
          <w:b/>
          <w:bCs/>
          <w:spacing w:val="-1"/>
        </w:rPr>
        <w:t>Špišić Bukovica, 1</w:t>
      </w:r>
      <w:r>
        <w:rPr>
          <w:rFonts w:hint="default"/>
          <w:b/>
          <w:bCs/>
          <w:spacing w:val="-1"/>
          <w:lang w:val="hr-HR"/>
        </w:rPr>
        <w:t>0</w:t>
      </w:r>
      <w:r>
        <w:rPr>
          <w:b/>
          <w:bCs/>
          <w:spacing w:val="-1"/>
        </w:rPr>
        <w:t xml:space="preserve">. </w:t>
      </w:r>
      <w:r>
        <w:rPr>
          <w:rFonts w:hint="default"/>
          <w:b/>
          <w:bCs/>
          <w:spacing w:val="-1"/>
          <w:lang w:val="hr-HR"/>
        </w:rPr>
        <w:t>ožujka</w:t>
      </w:r>
      <w:r>
        <w:rPr>
          <w:b/>
          <w:bCs/>
        </w:rPr>
        <w:t xml:space="preserve"> 202</w:t>
      </w:r>
      <w:r>
        <w:rPr>
          <w:rFonts w:hint="default"/>
          <w:b/>
          <w:bCs/>
          <w:lang w:val="hr-HR"/>
        </w:rPr>
        <w:t>6</w:t>
      </w:r>
      <w:r>
        <w:rPr>
          <w:b/>
          <w:bCs/>
        </w:rPr>
        <w:t>.</w:t>
      </w:r>
    </w:p>
    <w:p w14:paraId="7E282A9B">
      <w:pPr>
        <w:pStyle w:val="6"/>
        <w:tabs>
          <w:tab w:val="left" w:pos="1553"/>
        </w:tabs>
        <w:kinsoku w:val="0"/>
        <w:overflowPunct w:val="0"/>
        <w:ind w:left="0" w:firstLine="0"/>
        <w:rPr>
          <w:spacing w:val="-1"/>
        </w:rPr>
      </w:pPr>
    </w:p>
    <w:p w14:paraId="7E282A9C">
      <w:pPr>
        <w:pStyle w:val="6"/>
        <w:tabs>
          <w:tab w:val="left" w:pos="1553"/>
        </w:tabs>
        <w:kinsoku w:val="0"/>
        <w:overflowPunct w:val="0"/>
        <w:ind w:left="0" w:firstLine="0"/>
        <w:rPr>
          <w:spacing w:val="-1"/>
        </w:rPr>
      </w:pPr>
    </w:p>
    <w:p w14:paraId="7E282A9D">
      <w:pPr>
        <w:pStyle w:val="6"/>
        <w:tabs>
          <w:tab w:val="left" w:pos="1553"/>
        </w:tabs>
        <w:kinsoku w:val="0"/>
        <w:overflowPunct w:val="0"/>
        <w:ind w:left="0" w:firstLine="0"/>
        <w:rPr>
          <w:spacing w:val="-1"/>
        </w:rPr>
      </w:pPr>
    </w:p>
    <w:p w14:paraId="7E282A9E">
      <w:pPr>
        <w:pStyle w:val="6"/>
        <w:tabs>
          <w:tab w:val="left" w:pos="1553"/>
        </w:tabs>
        <w:kinsoku w:val="0"/>
        <w:overflowPunct w:val="0"/>
        <w:ind w:left="0" w:firstLine="0"/>
        <w:rPr>
          <w:spacing w:val="-1"/>
        </w:rPr>
      </w:pPr>
      <w:r>
        <w:rPr>
          <w:spacing w:val="-1"/>
        </w:rPr>
        <w:t xml:space="preserve">                                                                                                                                   Ravnateljica:</w:t>
      </w:r>
    </w:p>
    <w:p w14:paraId="7E282A9F">
      <w:pPr>
        <w:pStyle w:val="6"/>
        <w:tabs>
          <w:tab w:val="left" w:pos="1553"/>
        </w:tabs>
        <w:kinsoku w:val="0"/>
        <w:overflowPunct w:val="0"/>
        <w:ind w:left="0" w:firstLine="0"/>
        <w:rPr>
          <w:spacing w:val="-1"/>
        </w:rPr>
      </w:pPr>
      <w:r>
        <w:rPr>
          <w:spacing w:val="-1"/>
        </w:rPr>
        <w:t xml:space="preserve">                                                                                                             Ivana Simeunović, dipl.tur.komunikolog</w:t>
      </w:r>
    </w:p>
    <w:sectPr>
      <w:pgSz w:w="16838" w:h="11906" w:orient="landscape"/>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left="832" w:hanging="360"/>
      </w:pPr>
      <w:rPr>
        <w:rFonts w:ascii="Times New Roman" w:hAnsi="Times New Roman" w:cs="Times New Roman"/>
        <w:b w:val="0"/>
        <w:bCs w:val="0"/>
        <w:sz w:val="24"/>
        <w:szCs w:val="24"/>
      </w:rPr>
    </w:lvl>
    <w:lvl w:ilvl="1" w:tentative="0">
      <w:start w:val="1"/>
      <w:numFmt w:val="lowerLetter"/>
      <w:lvlText w:val="%2."/>
      <w:lvlJc w:val="left"/>
      <w:pPr>
        <w:ind w:left="1778" w:hanging="360"/>
      </w:pPr>
      <w:rPr>
        <w:rFonts w:ascii="Times New Roman" w:hAnsi="Times New Roman" w:cs="Times New Roman"/>
        <w:b w:val="0"/>
        <w:bCs w:val="0"/>
        <w:spacing w:val="-1"/>
        <w:sz w:val="24"/>
        <w:szCs w:val="24"/>
      </w:rPr>
    </w:lvl>
    <w:lvl w:ilvl="2" w:tentative="0">
      <w:start w:val="0"/>
      <w:numFmt w:val="bullet"/>
      <w:lvlText w:val="-"/>
      <w:lvlJc w:val="left"/>
      <w:pPr>
        <w:ind w:left="2944" w:hanging="312"/>
      </w:pPr>
      <w:rPr>
        <w:rFonts w:ascii="Times New Roman" w:hAnsi="Times New Roman"/>
        <w:b w:val="0"/>
        <w:sz w:val="24"/>
      </w:rPr>
    </w:lvl>
    <w:lvl w:ilvl="3" w:tentative="0">
      <w:start w:val="0"/>
      <w:numFmt w:val="bullet"/>
      <w:lvlText w:val="•"/>
      <w:lvlJc w:val="left"/>
      <w:pPr>
        <w:ind w:left="1552" w:hanging="312"/>
      </w:pPr>
    </w:lvl>
    <w:lvl w:ilvl="4" w:tentative="0">
      <w:start w:val="0"/>
      <w:numFmt w:val="bullet"/>
      <w:lvlText w:val="•"/>
      <w:lvlJc w:val="left"/>
      <w:pPr>
        <w:ind w:left="2944" w:hanging="312"/>
      </w:pPr>
    </w:lvl>
    <w:lvl w:ilvl="5" w:tentative="0">
      <w:start w:val="0"/>
      <w:numFmt w:val="bullet"/>
      <w:lvlText w:val="•"/>
      <w:lvlJc w:val="left"/>
      <w:pPr>
        <w:ind w:left="2992" w:hanging="312"/>
      </w:pPr>
    </w:lvl>
    <w:lvl w:ilvl="6" w:tentative="0">
      <w:start w:val="0"/>
      <w:numFmt w:val="bullet"/>
      <w:lvlText w:val="•"/>
      <w:lvlJc w:val="left"/>
      <w:pPr>
        <w:ind w:left="4367" w:hanging="312"/>
      </w:pPr>
    </w:lvl>
    <w:lvl w:ilvl="7" w:tentative="0">
      <w:start w:val="0"/>
      <w:numFmt w:val="bullet"/>
      <w:lvlText w:val="•"/>
      <w:lvlJc w:val="left"/>
      <w:pPr>
        <w:ind w:left="5742" w:hanging="312"/>
      </w:pPr>
    </w:lvl>
    <w:lvl w:ilvl="8" w:tentative="0">
      <w:start w:val="0"/>
      <w:numFmt w:val="bullet"/>
      <w:lvlText w:val="•"/>
      <w:lvlJc w:val="left"/>
      <w:pPr>
        <w:ind w:left="7116" w:hanging="312"/>
      </w:pPr>
    </w:lvl>
  </w:abstractNum>
  <w:abstractNum w:abstractNumId="1">
    <w:nsid w:val="20EA7B96"/>
    <w:multiLevelType w:val="multilevel"/>
    <w:tmpl w:val="20EA7B96"/>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769047C7"/>
    <w:multiLevelType w:val="multilevel"/>
    <w:tmpl w:val="769047C7"/>
    <w:lvl w:ilvl="0" w:tentative="0">
      <w:start w:val="3"/>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AFC6BE6"/>
    <w:multiLevelType w:val="multilevel"/>
    <w:tmpl w:val="7AFC6BE6"/>
    <w:lvl w:ilvl="0" w:tentative="0">
      <w:start w:val="3"/>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92"/>
    <w:rsid w:val="000554B9"/>
    <w:rsid w:val="00056976"/>
    <w:rsid w:val="0005748B"/>
    <w:rsid w:val="000779E6"/>
    <w:rsid w:val="00097A3C"/>
    <w:rsid w:val="000A35C9"/>
    <w:rsid w:val="000B7063"/>
    <w:rsid w:val="000C0F67"/>
    <w:rsid w:val="000F1B76"/>
    <w:rsid w:val="000F22DC"/>
    <w:rsid w:val="00110147"/>
    <w:rsid w:val="00116FD3"/>
    <w:rsid w:val="00166ADC"/>
    <w:rsid w:val="001D0806"/>
    <w:rsid w:val="001E3D31"/>
    <w:rsid w:val="002A7EF7"/>
    <w:rsid w:val="002C723E"/>
    <w:rsid w:val="00300CC3"/>
    <w:rsid w:val="00350FFA"/>
    <w:rsid w:val="0035597D"/>
    <w:rsid w:val="003568C5"/>
    <w:rsid w:val="0037408F"/>
    <w:rsid w:val="0038080B"/>
    <w:rsid w:val="003C47C9"/>
    <w:rsid w:val="003C496E"/>
    <w:rsid w:val="003D0B56"/>
    <w:rsid w:val="00434591"/>
    <w:rsid w:val="00450E22"/>
    <w:rsid w:val="00513420"/>
    <w:rsid w:val="00524A8F"/>
    <w:rsid w:val="0056240A"/>
    <w:rsid w:val="00576FEB"/>
    <w:rsid w:val="00596508"/>
    <w:rsid w:val="005B2B0E"/>
    <w:rsid w:val="005D1E4A"/>
    <w:rsid w:val="005D3361"/>
    <w:rsid w:val="005D7A71"/>
    <w:rsid w:val="00617553"/>
    <w:rsid w:val="00636C65"/>
    <w:rsid w:val="0065727E"/>
    <w:rsid w:val="006776C1"/>
    <w:rsid w:val="006C702D"/>
    <w:rsid w:val="006D61F3"/>
    <w:rsid w:val="007252E4"/>
    <w:rsid w:val="00734551"/>
    <w:rsid w:val="00743383"/>
    <w:rsid w:val="007627F0"/>
    <w:rsid w:val="00772C78"/>
    <w:rsid w:val="007B28A2"/>
    <w:rsid w:val="007B3BC4"/>
    <w:rsid w:val="007F4F69"/>
    <w:rsid w:val="00872B1F"/>
    <w:rsid w:val="0087618B"/>
    <w:rsid w:val="008941B1"/>
    <w:rsid w:val="008B3FD6"/>
    <w:rsid w:val="00903674"/>
    <w:rsid w:val="009124CE"/>
    <w:rsid w:val="00917BD8"/>
    <w:rsid w:val="009442D3"/>
    <w:rsid w:val="00945854"/>
    <w:rsid w:val="00954F73"/>
    <w:rsid w:val="009679BB"/>
    <w:rsid w:val="00977B57"/>
    <w:rsid w:val="009B4592"/>
    <w:rsid w:val="009C3461"/>
    <w:rsid w:val="009E0BE8"/>
    <w:rsid w:val="00A17091"/>
    <w:rsid w:val="00A26680"/>
    <w:rsid w:val="00A43B82"/>
    <w:rsid w:val="00A5164A"/>
    <w:rsid w:val="00AB120D"/>
    <w:rsid w:val="00AE6DB5"/>
    <w:rsid w:val="00AF6C3E"/>
    <w:rsid w:val="00B40F4F"/>
    <w:rsid w:val="00B8306D"/>
    <w:rsid w:val="00BC536E"/>
    <w:rsid w:val="00C01A34"/>
    <w:rsid w:val="00C4060A"/>
    <w:rsid w:val="00CA16B0"/>
    <w:rsid w:val="00CE4D7C"/>
    <w:rsid w:val="00CF3BA6"/>
    <w:rsid w:val="00CF5D2E"/>
    <w:rsid w:val="00DA304F"/>
    <w:rsid w:val="00DE55AD"/>
    <w:rsid w:val="00DF2654"/>
    <w:rsid w:val="00E52028"/>
    <w:rsid w:val="00E62FC7"/>
    <w:rsid w:val="00E63606"/>
    <w:rsid w:val="00EA037A"/>
    <w:rsid w:val="00F326A5"/>
    <w:rsid w:val="00F464AA"/>
    <w:rsid w:val="00F96547"/>
    <w:rsid w:val="00FB0CC3"/>
    <w:rsid w:val="00FC723A"/>
    <w:rsid w:val="00FD6B19"/>
    <w:rsid w:val="00FE2270"/>
    <w:rsid w:val="00FE3081"/>
    <w:rsid w:val="00FE66CB"/>
    <w:rsid w:val="176B5171"/>
    <w:rsid w:val="2B3C525E"/>
    <w:rsid w:val="343D0A03"/>
    <w:rsid w:val="58297A39"/>
    <w:rsid w:val="669118EB"/>
    <w:rsid w:val="6F7E0BF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spacing w:after="0" w:line="240" w:lineRule="auto"/>
    </w:pPr>
    <w:rPr>
      <w:rFonts w:ascii="Times New Roman" w:hAnsi="Times New Roman" w:cs="Times New Roman" w:eastAsiaTheme="minorEastAsia"/>
      <w:sz w:val="24"/>
      <w:szCs w:val="24"/>
      <w:lang w:val="hr-HR" w:eastAsia="hr-HR" w:bidi="ar-SA"/>
    </w:rPr>
  </w:style>
  <w:style w:type="paragraph" w:styleId="2">
    <w:name w:val="heading 2"/>
    <w:basedOn w:val="1"/>
    <w:next w:val="1"/>
    <w:link w:val="10"/>
    <w:qFormat/>
    <w:uiPriority w:val="1"/>
    <w:pPr>
      <w:ind w:left="2147"/>
      <w:outlineLvl w:val="1"/>
    </w:pPr>
    <w:rPr>
      <w:b/>
      <w:bCs/>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rFonts w:ascii="Segoe UI" w:hAnsi="Segoe UI" w:cs="Segoe UI"/>
      <w:sz w:val="18"/>
      <w:szCs w:val="18"/>
    </w:rPr>
  </w:style>
  <w:style w:type="paragraph" w:styleId="6">
    <w:name w:val="Body Text"/>
    <w:basedOn w:val="1"/>
    <w:link w:val="11"/>
    <w:qFormat/>
    <w:uiPriority w:val="1"/>
    <w:pPr>
      <w:ind w:left="116" w:firstLine="708"/>
    </w:pPr>
  </w:style>
  <w:style w:type="paragraph" w:styleId="7">
    <w:name w:val="footer"/>
    <w:basedOn w:val="1"/>
    <w:link w:val="13"/>
    <w:unhideWhenUsed/>
    <w:qFormat/>
    <w:uiPriority w:val="99"/>
    <w:pPr>
      <w:tabs>
        <w:tab w:val="center" w:pos="4536"/>
        <w:tab w:val="right" w:pos="9072"/>
      </w:tabs>
    </w:pPr>
  </w:style>
  <w:style w:type="paragraph" w:styleId="8">
    <w:name w:val="header"/>
    <w:basedOn w:val="1"/>
    <w:link w:val="12"/>
    <w:unhideWhenUsed/>
    <w:qFormat/>
    <w:uiPriority w:val="99"/>
    <w:pPr>
      <w:tabs>
        <w:tab w:val="center" w:pos="4536"/>
        <w:tab w:val="right" w:pos="9072"/>
      </w:tabs>
    </w:p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Naslov 2 Char"/>
    <w:basedOn w:val="3"/>
    <w:link w:val="2"/>
    <w:qFormat/>
    <w:uiPriority w:val="1"/>
    <w:rPr>
      <w:rFonts w:ascii="Times New Roman" w:hAnsi="Times New Roman" w:cs="Times New Roman" w:eastAsiaTheme="minorEastAsia"/>
      <w:b/>
      <w:bCs/>
      <w:sz w:val="24"/>
      <w:szCs w:val="24"/>
      <w:lang w:eastAsia="hr-HR"/>
    </w:rPr>
  </w:style>
  <w:style w:type="character" w:customStyle="1" w:styleId="11">
    <w:name w:val="Tijelo teksta Char"/>
    <w:basedOn w:val="3"/>
    <w:link w:val="6"/>
    <w:qFormat/>
    <w:uiPriority w:val="1"/>
    <w:rPr>
      <w:rFonts w:ascii="Times New Roman" w:hAnsi="Times New Roman" w:cs="Times New Roman" w:eastAsiaTheme="minorEastAsia"/>
      <w:sz w:val="24"/>
      <w:szCs w:val="24"/>
      <w:lang w:eastAsia="hr-HR"/>
    </w:rPr>
  </w:style>
  <w:style w:type="character" w:customStyle="1" w:styleId="12">
    <w:name w:val="Zaglavlje Char"/>
    <w:basedOn w:val="3"/>
    <w:link w:val="8"/>
    <w:qFormat/>
    <w:uiPriority w:val="99"/>
    <w:rPr>
      <w:rFonts w:ascii="Times New Roman" w:hAnsi="Times New Roman" w:cs="Times New Roman" w:eastAsiaTheme="minorEastAsia"/>
      <w:sz w:val="24"/>
      <w:szCs w:val="24"/>
      <w:lang w:eastAsia="hr-HR"/>
    </w:rPr>
  </w:style>
  <w:style w:type="character" w:customStyle="1" w:styleId="13">
    <w:name w:val="Podnožje Char"/>
    <w:basedOn w:val="3"/>
    <w:link w:val="7"/>
    <w:qFormat/>
    <w:uiPriority w:val="99"/>
    <w:rPr>
      <w:rFonts w:ascii="Times New Roman" w:hAnsi="Times New Roman" w:cs="Times New Roman" w:eastAsiaTheme="minorEastAsia"/>
      <w:sz w:val="24"/>
      <w:szCs w:val="24"/>
      <w:lang w:eastAsia="hr-HR"/>
    </w:rPr>
  </w:style>
  <w:style w:type="paragraph" w:styleId="14">
    <w:name w:val="No Spacing"/>
    <w:qFormat/>
    <w:uiPriority w:val="1"/>
    <w:pPr>
      <w:widowControl w:val="0"/>
      <w:autoSpaceDE w:val="0"/>
      <w:autoSpaceDN w:val="0"/>
      <w:adjustRightInd w:val="0"/>
      <w:spacing w:after="0" w:line="240" w:lineRule="auto"/>
    </w:pPr>
    <w:rPr>
      <w:rFonts w:ascii="Times New Roman" w:hAnsi="Times New Roman" w:cs="Times New Roman" w:eastAsiaTheme="minorEastAsia"/>
      <w:sz w:val="24"/>
      <w:szCs w:val="24"/>
      <w:lang w:val="hr-HR" w:eastAsia="hr-HR" w:bidi="ar-SA"/>
    </w:rPr>
  </w:style>
  <w:style w:type="paragraph" w:styleId="15">
    <w:name w:val="List Paragraph"/>
    <w:basedOn w:val="1"/>
    <w:qFormat/>
    <w:uiPriority w:val="34"/>
  </w:style>
  <w:style w:type="paragraph" w:customStyle="1" w:styleId="16">
    <w:name w:val="box_474667"/>
    <w:basedOn w:val="1"/>
    <w:qFormat/>
    <w:uiPriority w:val="0"/>
    <w:pPr>
      <w:widowControl/>
      <w:autoSpaceDE/>
      <w:autoSpaceDN/>
      <w:adjustRightInd/>
      <w:spacing w:before="100" w:beforeAutospacing="1" w:after="100" w:afterAutospacing="1"/>
    </w:pPr>
    <w:rPr>
      <w:rFonts w:eastAsia="Times New Roman"/>
      <w:lang w:val="en-US" w:eastAsia="en-US"/>
    </w:rPr>
  </w:style>
  <w:style w:type="character" w:customStyle="1" w:styleId="17">
    <w:name w:val="Tekst balončića Char"/>
    <w:basedOn w:val="3"/>
    <w:link w:val="5"/>
    <w:semiHidden/>
    <w:qFormat/>
    <w:uiPriority w:val="99"/>
    <w:rPr>
      <w:rFonts w:ascii="Segoe UI" w:hAnsi="Segoe UI" w:cs="Segoe UI" w:eastAsiaTheme="minorEastAsia"/>
      <w:sz w:val="18"/>
      <w:szCs w:val="18"/>
      <w:lang w:eastAsia="hr-H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4290</Words>
  <Characters>24455</Characters>
  <Lines>203</Lines>
  <Paragraphs>57</Paragraphs>
  <TotalTime>47</TotalTime>
  <ScaleCrop>false</ScaleCrop>
  <LinksUpToDate>false</LinksUpToDate>
  <CharactersWithSpaces>28688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2025-03-06T22:36:00Z</dcterms:created>
  <dc:creator>Korisnik</dc:creator>
  <cp:lastModifiedBy>Korisnik</cp:lastModifiedBy>
  <cp:lastPrinted>2025-03-07T10:16:00Z</cp:lastPrinted>
  <dcterms:modified xsi:type="dcterms:W3CDTF">2026-03-18T15:20:06Z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D5689FC06DF848DD8AA5DCA30B13658C_12</vt:lpwstr>
  </property>
</Properties>
</file>